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body>
    <w:p w:rsidR="00E66558" w:rsidRDefault="00C11EB4" w14:paraId="2A7D54B1" w14:textId="3983D4D8">
      <w:pPr>
        <w:pStyle w:val="Heading1"/>
      </w:pPr>
      <w:bookmarkStart w:name="_Toc400361362" w:id="0"/>
      <w:bookmarkStart w:name="_Toc443397153" w:id="1"/>
      <w:bookmarkStart w:name="_Toc357771638" w:id="2"/>
      <w:bookmarkStart w:name="_Toc346793416" w:id="3"/>
      <w:bookmarkStart w:name="_Toc328122777" w:id="4"/>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rsidRPr="00D348C0" w:rsidR="00B572C4" w:rsidP="009539E3" w:rsidRDefault="00B572C4" w14:paraId="2EED2A16" w14:textId="4FFD1D2E">
                            <w:pPr>
                              <w:rPr>
                                <w:bCs/>
                                <w:color w:val="auto"/>
                              </w:rPr>
                            </w:pPr>
                            <w:r w:rsidRPr="00D348C0">
                              <w:rPr>
                                <w:bCs/>
                                <w:color w:val="auto"/>
                              </w:rPr>
                              <w:t xml:space="preserve">Before completing this template, </w:t>
                            </w:r>
                            <w:r w:rsidRPr="00D348C0" w:rsidR="00F63E9E">
                              <w:rPr>
                                <w:bCs/>
                                <w:color w:val="auto"/>
                              </w:rPr>
                              <w:t xml:space="preserve">read </w:t>
                            </w:r>
                            <w:r w:rsidRPr="00D348C0">
                              <w:rPr>
                                <w:bCs/>
                                <w:color w:val="auto"/>
                              </w:rPr>
                              <w:t>the E</w:t>
                            </w:r>
                            <w:r w:rsidRPr="00D348C0" w:rsidR="00D3578A">
                              <w:rPr>
                                <w:bCs/>
                                <w:color w:val="auto"/>
                              </w:rPr>
                              <w:t xml:space="preserve">ducation </w:t>
                            </w:r>
                            <w:r w:rsidRPr="00D348C0">
                              <w:rPr>
                                <w:bCs/>
                                <w:color w:val="auto"/>
                              </w:rPr>
                              <w:t>E</w:t>
                            </w:r>
                            <w:r w:rsidRPr="00D348C0" w:rsidR="00D3578A">
                              <w:rPr>
                                <w:bCs/>
                                <w:color w:val="auto"/>
                              </w:rPr>
                              <w:t xml:space="preserve">ndowment </w:t>
                            </w:r>
                            <w:r w:rsidRPr="00D348C0">
                              <w:rPr>
                                <w:bCs/>
                                <w:color w:val="auto"/>
                              </w:rPr>
                              <w:t>F</w:t>
                            </w:r>
                            <w:r w:rsidRPr="00D348C0" w:rsidR="00D3578A">
                              <w:rPr>
                                <w:bCs/>
                                <w:color w:val="auto"/>
                              </w:rPr>
                              <w:t>oundation’s</w:t>
                            </w:r>
                            <w:r w:rsidRPr="00D348C0">
                              <w:rPr>
                                <w:bCs/>
                                <w:color w:val="auto"/>
                              </w:rPr>
                              <w:t xml:space="preserve"> guid</w:t>
                            </w:r>
                            <w:r w:rsidRPr="00D348C0" w:rsidR="00BC67F6">
                              <w:rPr>
                                <w:bCs/>
                                <w:color w:val="auto"/>
                              </w:rPr>
                              <w:t>ance</w:t>
                            </w:r>
                            <w:r w:rsidRPr="00D348C0">
                              <w:rPr>
                                <w:bCs/>
                                <w:color w:val="auto"/>
                              </w:rPr>
                              <w:t xml:space="preserve"> </w:t>
                            </w:r>
                            <w:r w:rsidRPr="00D348C0" w:rsidR="00731581">
                              <w:rPr>
                                <w:bCs/>
                                <w:color w:val="auto"/>
                              </w:rPr>
                              <w:t>on</w:t>
                            </w:r>
                            <w:r w:rsidRPr="00D348C0">
                              <w:rPr>
                                <w:bCs/>
                                <w:color w:val="auto"/>
                              </w:rPr>
                              <w:t xml:space="preserve"> </w:t>
                            </w:r>
                            <w:hyperlink w:history="1" r:id="rId10">
                              <w:r w:rsidRPr="00D348C0">
                                <w:rPr>
                                  <w:rStyle w:val="Hyperlink"/>
                                </w:rPr>
                                <w:t>using your pupil premium funding effectively</w:t>
                              </w:r>
                            </w:hyperlink>
                            <w:r w:rsidRPr="00D348C0">
                              <w:rPr>
                                <w:bCs/>
                                <w:color w:val="auto"/>
                              </w:rPr>
                              <w:t xml:space="preserve"> and DfE’s </w:t>
                            </w:r>
                            <w:hyperlink w:history="1" r:id="rId11">
                              <w:r w:rsidRPr="00D348C0" w:rsidR="00D3578A">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rsidRPr="00D348C0" w:rsidR="00993CFC" w:rsidP="00F33DC0" w:rsidRDefault="00993CFC" w14:paraId="67CAB2FC" w14:textId="36B4196C">
                            <w:bookmarkStart w:name="_Hlk117600237" w:id="5"/>
                            <w:r w:rsidRPr="00D348C0">
                              <w:t xml:space="preserve">All schools that receive pupil premium (and recovery premium) are required to use this template to complete and publish </w:t>
                            </w:r>
                            <w:r w:rsidRPr="00D348C0" w:rsidR="00306CB7">
                              <w:t>a</w:t>
                            </w:r>
                            <w:r w:rsidRPr="00D348C0">
                              <w:t xml:space="preserve"> pupil premium statement on their school website by 31 December</w:t>
                            </w:r>
                            <w:r w:rsidRPr="00D348C0" w:rsidR="00060A62">
                              <w:t xml:space="preserve"> every academic year</w:t>
                            </w:r>
                            <w:r w:rsidRPr="00D348C0">
                              <w:t>.</w:t>
                            </w:r>
                          </w:p>
                          <w:p w:rsidRPr="00D348C0" w:rsidR="00D877D0" w:rsidP="00D877D0" w:rsidRDefault="005750E2" w14:paraId="5C77A3F6" w14:textId="4E035382">
                            <w:r w:rsidRPr="00D348C0">
                              <w:t>If you are starting a new pupil premium strategy plan, use this</w:t>
                            </w:r>
                            <w:r w:rsidRPr="00D348C0" w:rsidR="004A4C45">
                              <w:t xml:space="preserve"> </w:t>
                            </w:r>
                            <w:r w:rsidRPr="00D348C0" w:rsidR="003C4C27">
                              <w:t>blank template</w:t>
                            </w:r>
                            <w:r w:rsidRPr="00D348C0">
                              <w:t xml:space="preserve">. If you are continuing a strategy </w:t>
                            </w:r>
                            <w:r w:rsidRPr="00D348C0" w:rsidR="004E1D73">
                              <w:t>plan from</w:t>
                            </w:r>
                            <w:r w:rsidRPr="00D348C0" w:rsidR="00D877D0">
                              <w:t xml:space="preserve"> </w:t>
                            </w:r>
                            <w:r w:rsidRPr="00D348C0" w:rsidR="00904A66">
                              <w:t>last</w:t>
                            </w:r>
                            <w:r w:rsidRPr="00D348C0">
                              <w:t xml:space="preserve"> academic year, you may </w:t>
                            </w:r>
                            <w:r w:rsidRPr="00D348C0" w:rsidR="00A50104">
                              <w:t>prefer</w:t>
                            </w:r>
                            <w:r w:rsidRPr="00D348C0">
                              <w:t xml:space="preserve"> to edit your </w:t>
                            </w:r>
                            <w:bookmarkEnd w:id="5"/>
                            <w:r w:rsidRPr="00D348C0" w:rsidR="00D877D0">
                              <w:t>existing statement</w:t>
                            </w:r>
                            <w:r w:rsidRPr="00D348C0" w:rsidR="00D72C08">
                              <w:t xml:space="preserve">, </w:t>
                            </w:r>
                            <w:r w:rsidRPr="00D348C0" w:rsidR="005E18CB">
                              <w:t>if</w:t>
                            </w:r>
                            <w:r w:rsidRPr="00D348C0" w:rsidR="007610B5">
                              <w:t xml:space="preserve"> that version was published using the template</w:t>
                            </w:r>
                            <w:r w:rsidRPr="00D348C0" w:rsidR="00D877D0">
                              <w:t>.</w:t>
                            </w:r>
                            <w:r w:rsidRPr="00D348C0" w:rsidR="00CB24A4">
                              <w:t xml:space="preserve"> </w:t>
                            </w:r>
                          </w:p>
                          <w:p w:rsidRPr="00D348C0" w:rsidR="00E66558" w:rsidRDefault="009D71E8" w14:paraId="2A7D54B6" w14:textId="6B6F3880">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w14:anchorId="0BA2BF1F">
              <v:shapetype id="_x0000_t202" coordsize="21600,21600" o:spt="202" path="m,l,21600r21600,l21600,xe" w14:anchorId="2A7D54B2">
                <v:stroke joinstyle="miter"/>
                <v:path gradientshapeok="t" o:connecttype="rect"/>
              </v:shapetype>
              <v:shape id="Text Box 1"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lt="&quot;&quot;" o:spid="_x0000_s1026" fillcolor="#f2f2f2"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v:textbox>
                  <w:txbxContent>
                    <w:p w:rsidRPr="00D348C0" w:rsidR="00B572C4" w:rsidP="009539E3" w:rsidRDefault="00B572C4" w14:paraId="75EA0A84" w14:textId="4FFD1D2E">
                      <w:pPr>
                        <w:rPr>
                          <w:bCs/>
                          <w:color w:val="auto"/>
                        </w:rPr>
                      </w:pPr>
                      <w:r w:rsidRPr="00D348C0">
                        <w:rPr>
                          <w:bCs/>
                          <w:color w:val="auto"/>
                        </w:rPr>
                        <w:t xml:space="preserve">Before completing this template, </w:t>
                      </w:r>
                      <w:r w:rsidRPr="00D348C0" w:rsidR="00F63E9E">
                        <w:rPr>
                          <w:bCs/>
                          <w:color w:val="auto"/>
                        </w:rPr>
                        <w:t xml:space="preserve">read </w:t>
                      </w:r>
                      <w:r w:rsidRPr="00D348C0">
                        <w:rPr>
                          <w:bCs/>
                          <w:color w:val="auto"/>
                        </w:rPr>
                        <w:t>the E</w:t>
                      </w:r>
                      <w:r w:rsidRPr="00D348C0" w:rsidR="00D3578A">
                        <w:rPr>
                          <w:bCs/>
                          <w:color w:val="auto"/>
                        </w:rPr>
                        <w:t xml:space="preserve">ducation </w:t>
                      </w:r>
                      <w:r w:rsidRPr="00D348C0">
                        <w:rPr>
                          <w:bCs/>
                          <w:color w:val="auto"/>
                        </w:rPr>
                        <w:t>E</w:t>
                      </w:r>
                      <w:r w:rsidRPr="00D348C0" w:rsidR="00D3578A">
                        <w:rPr>
                          <w:bCs/>
                          <w:color w:val="auto"/>
                        </w:rPr>
                        <w:t xml:space="preserve">ndowment </w:t>
                      </w:r>
                      <w:r w:rsidRPr="00D348C0">
                        <w:rPr>
                          <w:bCs/>
                          <w:color w:val="auto"/>
                        </w:rPr>
                        <w:t>F</w:t>
                      </w:r>
                      <w:r w:rsidRPr="00D348C0" w:rsidR="00D3578A">
                        <w:rPr>
                          <w:bCs/>
                          <w:color w:val="auto"/>
                        </w:rPr>
                        <w:t>oundation’s</w:t>
                      </w:r>
                      <w:r w:rsidRPr="00D348C0">
                        <w:rPr>
                          <w:bCs/>
                          <w:color w:val="auto"/>
                        </w:rPr>
                        <w:t xml:space="preserve"> guid</w:t>
                      </w:r>
                      <w:r w:rsidRPr="00D348C0" w:rsidR="00BC67F6">
                        <w:rPr>
                          <w:bCs/>
                          <w:color w:val="auto"/>
                        </w:rPr>
                        <w:t>ance</w:t>
                      </w:r>
                      <w:r w:rsidRPr="00D348C0">
                        <w:rPr>
                          <w:bCs/>
                          <w:color w:val="auto"/>
                        </w:rPr>
                        <w:t xml:space="preserve"> </w:t>
                      </w:r>
                      <w:r w:rsidRPr="00D348C0" w:rsidR="00731581">
                        <w:rPr>
                          <w:bCs/>
                          <w:color w:val="auto"/>
                        </w:rPr>
                        <w:t>on</w:t>
                      </w:r>
                      <w:r w:rsidRPr="00D348C0">
                        <w:rPr>
                          <w:bCs/>
                          <w:color w:val="auto"/>
                        </w:rPr>
                        <w:t xml:space="preserve"> </w:t>
                      </w:r>
                      <w:hyperlink w:history="1" r:id="rId12">
                        <w:r w:rsidRPr="00D348C0">
                          <w:rPr>
                            <w:rStyle w:val="Hyperlink"/>
                          </w:rPr>
                          <w:t>using your pupil premium funding effectively</w:t>
                        </w:r>
                      </w:hyperlink>
                      <w:r w:rsidRPr="00D348C0">
                        <w:rPr>
                          <w:bCs/>
                          <w:color w:val="auto"/>
                        </w:rPr>
                        <w:t xml:space="preserve"> and DfE’s </w:t>
                      </w:r>
                      <w:hyperlink w:history="1" r:id="rId13">
                        <w:r w:rsidRPr="00D348C0" w:rsidR="00D3578A">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rsidRPr="00D348C0" w:rsidR="00993CFC" w:rsidP="00F33DC0" w:rsidRDefault="00993CFC" w14:paraId="2248089B" w14:textId="36B4196C">
                      <w:r w:rsidRPr="00D348C0">
                        <w:t xml:space="preserve">All schools that receive pupil premium (and recovery premium) are required to use this template to complete and publish </w:t>
                      </w:r>
                      <w:r w:rsidRPr="00D348C0" w:rsidR="00306CB7">
                        <w:t>a</w:t>
                      </w:r>
                      <w:r w:rsidRPr="00D348C0">
                        <w:t xml:space="preserve"> pupil premium statement on their school website by 31 December</w:t>
                      </w:r>
                      <w:r w:rsidRPr="00D348C0" w:rsidR="00060A62">
                        <w:t xml:space="preserve"> every academic year</w:t>
                      </w:r>
                      <w:r w:rsidRPr="00D348C0">
                        <w:t>.</w:t>
                      </w:r>
                    </w:p>
                    <w:p w:rsidRPr="00D348C0" w:rsidR="00D877D0" w:rsidP="00D877D0" w:rsidRDefault="005750E2" w14:paraId="7399C957" w14:textId="4E035382">
                      <w:r w:rsidRPr="00D348C0">
                        <w:t>If you are starting a new pupil premium strategy plan, use this</w:t>
                      </w:r>
                      <w:r w:rsidRPr="00D348C0" w:rsidR="004A4C45">
                        <w:t xml:space="preserve"> </w:t>
                      </w:r>
                      <w:r w:rsidRPr="00D348C0" w:rsidR="003C4C27">
                        <w:t>blank template</w:t>
                      </w:r>
                      <w:r w:rsidRPr="00D348C0">
                        <w:t xml:space="preserve">. If you are continuing a strategy </w:t>
                      </w:r>
                      <w:r w:rsidRPr="00D348C0" w:rsidR="004E1D73">
                        <w:t>plan from</w:t>
                      </w:r>
                      <w:r w:rsidRPr="00D348C0" w:rsidR="00D877D0">
                        <w:t xml:space="preserve"> </w:t>
                      </w:r>
                      <w:r w:rsidRPr="00D348C0" w:rsidR="00904A66">
                        <w:t>last</w:t>
                      </w:r>
                      <w:r w:rsidRPr="00D348C0">
                        <w:t xml:space="preserve"> academic year, you may </w:t>
                      </w:r>
                      <w:r w:rsidRPr="00D348C0" w:rsidR="00A50104">
                        <w:t>prefer</w:t>
                      </w:r>
                      <w:r w:rsidRPr="00D348C0">
                        <w:t xml:space="preserve"> to edit your </w:t>
                      </w:r>
                      <w:r w:rsidRPr="00D348C0" w:rsidR="00D877D0">
                        <w:t>existing statement</w:t>
                      </w:r>
                      <w:r w:rsidRPr="00D348C0" w:rsidR="00D72C08">
                        <w:t xml:space="preserve">, </w:t>
                      </w:r>
                      <w:r w:rsidRPr="00D348C0" w:rsidR="005E18CB">
                        <w:t>if</w:t>
                      </w:r>
                      <w:r w:rsidRPr="00D348C0" w:rsidR="007610B5">
                        <w:t xml:space="preserve"> that version was published using the template</w:t>
                      </w:r>
                      <w:r w:rsidRPr="00D348C0" w:rsidR="00D877D0">
                        <w:t>.</w:t>
                      </w:r>
                      <w:r w:rsidRPr="00D348C0" w:rsidR="00CB24A4">
                        <w:t xml:space="preserve"> </w:t>
                      </w:r>
                    </w:p>
                    <w:p w:rsidRPr="00D348C0" w:rsidR="00E66558" w:rsidRDefault="009D71E8" w14:paraId="24883C19" w14:textId="6B6F3880">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name="_Toc338167830" w:id="7"/>
      <w:bookmarkStart w:name="_Toc361136403" w:id="8"/>
      <w:bookmarkStart w:name="_Toc364235708" w:id="9"/>
      <w:bookmarkStart w:name="_Toc364235752" w:id="10"/>
      <w:bookmarkStart w:name="_Toc364235834" w:id="11"/>
      <w:bookmarkStart w:name="_Toc364840099" w:id="12"/>
      <w:bookmarkStart w:name="_Toc364864309" w:id="13"/>
      <w:bookmarkStart w:name="_Toc400361364" w:id="14"/>
      <w:bookmarkStart w:name="_Toc443397154" w:id="15"/>
      <w:bookmarkEnd w:id="0"/>
      <w:bookmarkEnd w:id="1"/>
      <w:r w:rsidR="00226317">
        <w:t xml:space="preserve"> –</w:t>
      </w:r>
      <w:r w:rsidR="000B55C4">
        <w:t xml:space="preserve"> Parc Eglos Primary School </w:t>
      </w:r>
    </w:p>
    <w:p w:rsidR="005E18CB" w:rsidP="00C62989" w:rsidRDefault="005E18CB" w14:paraId="77015CC2" w14:textId="77777777"/>
    <w:p w:rsidR="00E66558" w:rsidP="00C62989" w:rsidRDefault="009D71E8" w14:paraId="16B48015" w14:textId="10C880C9">
      <w:pPr>
        <w:rPr>
          <w:b/>
        </w:rPr>
      </w:pPr>
      <w:r>
        <w:t xml:space="preserve">This statement details our school’s use of pupil premium (and recovery premium) funding to help improve the attainment of our disadvantaged pupils. </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2CAB096C">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rsidTr="58C6B69B"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RDefault="009D71E8" w14:paraId="51A59785" w14:textId="77777777">
            <w:pPr>
              <w:pStyle w:val="TableHeader"/>
              <w:jc w:val="left"/>
            </w:pPr>
            <w:r>
              <w:t>Data</w:t>
            </w:r>
          </w:p>
        </w:tc>
      </w:tr>
      <w:tr w:rsidR="002940F3" w:rsidTr="58C6B69B"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8" w14:textId="7E4C52DD">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58C6B69B" w:rsidRDefault="000B55C4" w14:paraId="2A7D54B9" w14:textId="5A3D0476">
            <w:pPr>
              <w:pStyle w:val="TableRow"/>
              <w:rPr>
                <w:highlight w:val="yellow"/>
              </w:rPr>
            </w:pPr>
            <w:r w:rsidRPr="58C6B69B" w:rsidR="000B55C4">
              <w:rPr>
                <w:highlight w:val="yellow"/>
              </w:rPr>
              <w:t>43</w:t>
            </w:r>
          </w:p>
        </w:tc>
      </w:tr>
      <w:tr w:rsidR="002940F3" w:rsidTr="58C6B69B"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B" w14:textId="04774D6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0B55C4" w14:paraId="2A7D54BC" w14:textId="7149CEA7">
            <w:pPr>
              <w:pStyle w:val="TableRow"/>
            </w:pPr>
            <w:r>
              <w:t>10%</w:t>
            </w:r>
          </w:p>
        </w:tc>
      </w:tr>
      <w:tr w:rsidR="002940F3" w:rsidTr="58C6B69B"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BE" w14:textId="34215C6A">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573896" w14:paraId="2A7D54BF" w14:textId="436F4031">
            <w:pPr>
              <w:pStyle w:val="TableRow"/>
            </w:pPr>
            <w:r>
              <w:t>2025 - 2028</w:t>
            </w:r>
          </w:p>
        </w:tc>
      </w:tr>
      <w:tr w:rsidR="002940F3" w:rsidTr="58C6B69B"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1" w14:textId="0F472705">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0B55C4" w14:paraId="2A7D54C2" w14:textId="542E808B">
            <w:pPr>
              <w:pStyle w:val="TableRow"/>
            </w:pPr>
            <w:r>
              <w:t xml:space="preserve">January 2025 </w:t>
            </w:r>
          </w:p>
        </w:tc>
      </w:tr>
      <w:tr w:rsidR="002940F3" w:rsidTr="58C6B69B"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4" w14:textId="0C76634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D94A3C" w14:paraId="2A7D54C5" w14:textId="789FEBF6">
            <w:pPr>
              <w:pStyle w:val="TableRow"/>
            </w:pPr>
            <w:r>
              <w:t>December 2025</w:t>
            </w:r>
          </w:p>
        </w:tc>
      </w:tr>
      <w:tr w:rsidR="002940F3" w:rsidTr="58C6B69B"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7" w14:textId="7605248E">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FA5B50" w14:paraId="2A7D54C8" w14:textId="58F07CA0">
            <w:pPr>
              <w:pStyle w:val="TableRow"/>
            </w:pPr>
            <w:r>
              <w:t xml:space="preserve">Tamsin Lamb </w:t>
            </w:r>
          </w:p>
        </w:tc>
      </w:tr>
      <w:tr w:rsidR="002940F3" w:rsidTr="58C6B69B"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A" w14:textId="5DC091D2">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D94A3C" w14:paraId="2A7D54CB" w14:textId="4A77DDC5">
            <w:pPr>
              <w:pStyle w:val="TableRow"/>
            </w:pPr>
            <w:r>
              <w:t>Vicky Sanderson</w:t>
            </w:r>
          </w:p>
        </w:tc>
      </w:tr>
      <w:tr w:rsidR="002940F3" w:rsidTr="58C6B69B"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2940F3" w14:paraId="2A7D54CD" w14:textId="08FA5419">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RDefault="00573896" w14:paraId="2A7D54CE" w14:textId="6762E7EB">
            <w:pPr>
              <w:pStyle w:val="TableRow"/>
            </w:pPr>
            <w:r>
              <w:t>Peter Sheppard</w:t>
            </w:r>
          </w:p>
        </w:tc>
      </w:tr>
    </w:tbl>
    <w:bookmarkEnd w:id="2"/>
    <w:bookmarkEnd w:id="3"/>
    <w:bookmarkEnd w:id="4"/>
    <w:p w:rsidRPr="005464A1" w:rsidR="00E66558" w:rsidP="005464A1" w:rsidRDefault="009D71E8" w14:paraId="2A7D54D3" w14:textId="7777777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00CA4421"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625D1A15"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254EA285">
            <w:pPr>
              <w:pStyle w:val="TableRow"/>
            </w:pPr>
            <w:r>
              <w:t>£</w:t>
            </w:r>
            <w:r w:rsidR="00B01A45">
              <w:t>113,801</w:t>
            </w:r>
          </w:p>
        </w:tc>
      </w:tr>
      <w:tr w:rsidR="00E66558" w:rsidTr="625D1A15"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321C9B95" w14:textId="77777777">
            <w:pPr>
              <w:pStyle w:val="TableRow"/>
            </w:pPr>
            <w:r>
              <w:t>Recovery premium funding allocation this academic year</w:t>
            </w:r>
          </w:p>
          <w:p w:rsidRPr="005F16B6" w:rsidR="00CA5363" w:rsidP="00CA5363" w:rsidRDefault="00CA5363" w14:paraId="2A7D54DA" w14:textId="7E741F29">
            <w:pPr>
              <w:pStyle w:val="TableRow"/>
              <w:rPr>
                <w:i/>
                <w:iCs/>
              </w:rPr>
            </w:pPr>
            <w:r w:rsidRPr="005F16B6">
              <w:rPr>
                <w:i/>
                <w:iCs/>
              </w:rPr>
              <w:t>Recovery premium received in academic year 2023</w:t>
            </w:r>
            <w:r w:rsidRPr="005F16B6" w:rsidR="00762652">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6DBF2EBF">
            <w:pPr>
              <w:pStyle w:val="TableRow"/>
            </w:pPr>
            <w:r>
              <w:t>£</w:t>
            </w:r>
            <w:r w:rsidR="00513434">
              <w:t>0</w:t>
            </w:r>
          </w:p>
        </w:tc>
      </w:tr>
      <w:tr w:rsidR="00E66558" w:rsidTr="625D1A15"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F16B6" w:rsidR="007109F6" w:rsidP="005F16B6" w:rsidRDefault="009D71E8" w14:paraId="2A7D54DD" w14:textId="74690F68">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66CEA41F">
            <w:pPr>
              <w:pStyle w:val="TableRow"/>
            </w:pPr>
            <w:r>
              <w:t>£</w:t>
            </w:r>
            <w:r w:rsidR="00A373C7">
              <w:t>0</w:t>
            </w:r>
          </w:p>
        </w:tc>
      </w:tr>
      <w:tr w:rsidR="00E66558" w:rsidTr="625D1A15"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9C0914" w:rsidRDefault="009D71E8" w14:paraId="2A7D54E0" w14:textId="77777777">
            <w:pPr>
              <w:pStyle w:val="TableRow"/>
              <w:spacing w:after="120"/>
              <w:rPr>
                <w:b/>
              </w:rPr>
            </w:pPr>
            <w:r>
              <w:rPr>
                <w:b/>
              </w:rPr>
              <w:t>Total budget for this academic year</w:t>
            </w:r>
          </w:p>
          <w:p w:rsidRPr="003C4388" w:rsidR="00E66558" w:rsidRDefault="009D71E8" w14:paraId="2A7D54E1" w14:textId="77777777">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5ACE0C85">
            <w:pPr>
              <w:pStyle w:val="TableRow"/>
            </w:pPr>
            <w:r>
              <w:t>£</w:t>
            </w:r>
            <w:r w:rsidR="00B01A45">
              <w:t>113,801</w:t>
            </w:r>
          </w:p>
        </w:tc>
      </w:tr>
    </w:tbl>
    <w:p w:rsidR="00E66558" w:rsidRDefault="009D71E8" w14:paraId="2A7D54E4" w14:textId="77777777">
      <w:pPr>
        <w:pStyle w:val="Heading1"/>
      </w:pPr>
      <w:r>
        <w:t>Part A: Pupil premium strategy plan</w:t>
      </w:r>
    </w:p>
    <w:p w:rsidR="00E66558" w:rsidRDefault="009D71E8" w14:paraId="2A7D54E5" w14:textId="77777777">
      <w:pPr>
        <w:pStyle w:val="Heading2"/>
      </w:pPr>
      <w:bookmarkStart w:name="_Toc357771640" w:id="16"/>
      <w:bookmarkStart w:name="_Toc346793418" w:id="17"/>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58C6B69B"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5435A" w:rsidP="58C6B69B" w:rsidRDefault="0055435A" w14:paraId="50763D27" w14:textId="0D727ADB">
            <w:pPr>
              <w:spacing w:before="120"/>
              <w:rPr>
                <w:i w:val="1"/>
                <w:iCs w:val="1"/>
              </w:rPr>
            </w:pPr>
            <w:r w:rsidRPr="58C6B69B" w:rsidR="009D71E8">
              <w:rPr>
                <w:i w:val="1"/>
                <w:iCs w:val="1"/>
              </w:rPr>
              <w:t>Y</w:t>
            </w:r>
            <w:r w:rsidR="7FA0E28D">
              <w:rPr/>
              <w:t xml:space="preserve">At </w:t>
            </w:r>
            <w:r w:rsidR="2D38EA46">
              <w:rPr/>
              <w:t xml:space="preserve">Parc </w:t>
            </w:r>
            <w:r w:rsidR="2D38EA46">
              <w:rPr/>
              <w:t>Egloc</w:t>
            </w:r>
            <w:r w:rsidR="7FA0E28D">
              <w:rPr/>
              <w:t xml:space="preserve"> Primary School, we have the highest expectations for </w:t>
            </w:r>
            <w:r w:rsidR="7FA0E28D">
              <w:rPr/>
              <w:t>all of</w:t>
            </w:r>
            <w:r w:rsidR="7FA0E28D">
              <w:rPr/>
              <w:t xml:space="preserve"> our children, including our vulnerable cohorts. Our focus on the whole child ensures that we promote and develop self-esteem and self-worth as priorities, knowing that these are the building-blocks to positive relationships in school, and with education. We, as teachers, hold ourselves accountable for the progress and outcomes of our pupils, understanding that when our expectations are high, children will rise to them in a self-fulling cycle of </w:t>
            </w:r>
            <w:r w:rsidR="7FA0E28D">
              <w:rPr/>
              <w:t>high expectations</w:t>
            </w:r>
            <w:r w:rsidR="7FA0E28D">
              <w:rPr/>
              <w:t xml:space="preserve"> leading to </w:t>
            </w:r>
            <w:r w:rsidR="7FA0E28D">
              <w:rPr/>
              <w:t>high levels</w:t>
            </w:r>
            <w:r w:rsidR="7FA0E28D">
              <w:rPr/>
              <w:t xml:space="preserve"> of self-efficacy and sense of agency, and therefore high achievement. We fully believe that when we unlock learning, we enable life-long life choices. </w:t>
            </w:r>
          </w:p>
          <w:p w:rsidR="00587D0F" w:rsidP="002B3D0B" w:rsidRDefault="00587D0F" w14:paraId="066C79EC" w14:textId="49F03A42">
            <w:r w:rsidRPr="00587D0F">
              <w:t xml:space="preserve">We ensure that the Pupil Premium funding is allocated effectively each year to have the necessary impact across school so that pupils achieve at least the same academic outcomes as non-disadvantaged pupils with similar starting points, and so that they have equal access to the extended curriculum and enrichment opportunities, eradicating educational inequity. </w:t>
            </w:r>
            <w:r w:rsidRPr="0095328F" w:rsidR="0095328F">
              <w:t>We have designed our curriculum to ensure that children in receipt of Pupil Premium, have opportunities to develop into confident, independent and successful learners who will flourish and make a positive contribution to the world.</w:t>
            </w:r>
          </w:p>
          <w:p w:rsidR="004571E0" w:rsidP="0055435A" w:rsidRDefault="004571E0" w14:paraId="12C89AA2" w14:textId="77777777"/>
          <w:p w:rsidRPr="0055435A" w:rsidR="0055435A" w:rsidP="0055435A" w:rsidRDefault="0055435A" w14:paraId="2A7D54E9" w14:textId="77777777">
            <w:pPr>
              <w:rPr>
                <w:i/>
                <w:iCs/>
              </w:rPr>
            </w:pPr>
          </w:p>
        </w:tc>
      </w:tr>
    </w:tbl>
    <w:p w:rsidR="00E66558" w:rsidRDefault="009D71E8" w14:paraId="2A7D54EB" w14:textId="77777777">
      <w:pPr>
        <w:pStyle w:val="Heading2"/>
        <w:spacing w:before="600"/>
      </w:pPr>
      <w:r>
        <w:t>Challenges</w:t>
      </w:r>
    </w:p>
    <w:p w:rsidR="00E66558" w:rsidP="00AA355B" w:rsidRDefault="009D71E8" w14:paraId="2A7D54EC" w14:textId="77777777">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Style w:val="GridTable4-Accent5"/>
        <w:tblW w:w="5000" w:type="pct"/>
        <w:tblLook w:val="04A0" w:firstRow="1" w:lastRow="0" w:firstColumn="1" w:lastColumn="0" w:noHBand="0" w:noVBand="1"/>
      </w:tblPr>
      <w:tblGrid>
        <w:gridCol w:w="1477"/>
        <w:gridCol w:w="8009"/>
      </w:tblGrid>
      <w:tr w:rsidR="00E66558" w:rsidTr="00977CF6" w14:paraId="2A7D54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E66558" w:rsidRDefault="009D71E8" w14:paraId="2A7D54ED" w14:textId="77777777">
            <w:pPr>
              <w:pStyle w:val="TableHeader"/>
              <w:jc w:val="left"/>
            </w:pPr>
            <w:r>
              <w:t>Challenge number</w:t>
            </w:r>
          </w:p>
        </w:tc>
        <w:tc>
          <w:tcPr>
            <w:tcW w:w="8009" w:type="dxa"/>
          </w:tcPr>
          <w:p w:rsidR="00E66558" w:rsidRDefault="009D71E8" w14:paraId="2A7D54EE" w14:textId="77777777">
            <w:pPr>
              <w:pStyle w:val="TableHeader"/>
              <w:jc w:val="left"/>
              <w:cnfStyle w:val="100000000000" w:firstRow="1" w:lastRow="0" w:firstColumn="0" w:lastColumn="0" w:oddVBand="0" w:evenVBand="0" w:oddHBand="0" w:evenHBand="0" w:firstRowFirstColumn="0" w:firstRowLastColumn="0" w:lastRowFirstColumn="0" w:lastRowLastColumn="0"/>
            </w:pPr>
            <w:r>
              <w:t xml:space="preserve">Detail of challenge </w:t>
            </w:r>
          </w:p>
        </w:tc>
      </w:tr>
      <w:tr w:rsidR="00E66558" w:rsidTr="00977CF6" w14:paraId="2A7D54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E66558" w:rsidRDefault="009D71E8" w14:paraId="2A7D54F0" w14:textId="77777777">
            <w:pPr>
              <w:pStyle w:val="TableRow"/>
              <w:rPr>
                <w:sz w:val="22"/>
                <w:szCs w:val="22"/>
              </w:rPr>
            </w:pPr>
            <w:r>
              <w:rPr>
                <w:sz w:val="22"/>
                <w:szCs w:val="22"/>
              </w:rPr>
              <w:t>1</w:t>
            </w:r>
          </w:p>
        </w:tc>
        <w:tc>
          <w:tcPr>
            <w:tcW w:w="8009" w:type="dxa"/>
          </w:tcPr>
          <w:p w:rsidR="00E66558" w:rsidP="00E47887" w:rsidRDefault="00E47887" w14:paraId="2A7D54F1" w14:textId="1CA9A36A">
            <w:pPr>
              <w:pStyle w:val="TableRowCentered"/>
              <w:ind w:left="0"/>
              <w:jc w:val="left"/>
              <w:cnfStyle w:val="000000100000" w:firstRow="0" w:lastRow="0" w:firstColumn="0" w:lastColumn="0" w:oddVBand="0" w:evenVBand="0" w:oddHBand="1" w:evenHBand="0" w:firstRowFirstColumn="0" w:firstRowLastColumn="0" w:lastRowFirstColumn="0" w:lastRowLastColumn="0"/>
            </w:pPr>
            <w:r>
              <w:t>Pupils</w:t>
            </w:r>
            <w:r w:rsidR="005D13C1">
              <w:t xml:space="preserve"> live in a predominantly monocultural and geographically isolated part of Britain which limits their exposure to, and knowledge of, the diverse range of cultural backgrounds beyond their own community</w:t>
            </w:r>
          </w:p>
        </w:tc>
      </w:tr>
      <w:tr w:rsidR="00E66558" w:rsidTr="00977CF6" w14:paraId="2A7D54F5" w14:textId="77777777">
        <w:tc>
          <w:tcPr>
            <w:cnfStyle w:val="001000000000" w:firstRow="0" w:lastRow="0" w:firstColumn="1" w:lastColumn="0" w:oddVBand="0" w:evenVBand="0" w:oddHBand="0" w:evenHBand="0" w:firstRowFirstColumn="0" w:firstRowLastColumn="0" w:lastRowFirstColumn="0" w:lastRowLastColumn="0"/>
            <w:tcW w:w="1477" w:type="dxa"/>
          </w:tcPr>
          <w:p w:rsidR="00E66558" w:rsidRDefault="009D71E8" w14:paraId="2A7D54F3" w14:textId="77777777">
            <w:pPr>
              <w:pStyle w:val="TableRow"/>
              <w:rPr>
                <w:sz w:val="22"/>
                <w:szCs w:val="22"/>
              </w:rPr>
            </w:pPr>
            <w:r>
              <w:rPr>
                <w:sz w:val="22"/>
                <w:szCs w:val="22"/>
              </w:rPr>
              <w:t>2</w:t>
            </w:r>
          </w:p>
        </w:tc>
        <w:tc>
          <w:tcPr>
            <w:tcW w:w="8009" w:type="dxa"/>
          </w:tcPr>
          <w:p w:rsidR="00E66558" w:rsidRDefault="000E668D" w14:paraId="2A7D54F4" w14:textId="4B09B120">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t>The word-gap between children living in disadvantage and their peers is large.</w:t>
            </w:r>
          </w:p>
        </w:tc>
      </w:tr>
      <w:tr w:rsidR="00E66558" w:rsidTr="00977CF6" w14:paraId="2A7D54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E66558" w:rsidRDefault="009D71E8" w14:paraId="2A7D54F6" w14:textId="77777777">
            <w:pPr>
              <w:pStyle w:val="TableRow"/>
              <w:rPr>
                <w:sz w:val="22"/>
                <w:szCs w:val="22"/>
              </w:rPr>
            </w:pPr>
            <w:r>
              <w:rPr>
                <w:sz w:val="22"/>
                <w:szCs w:val="22"/>
              </w:rPr>
              <w:t>3</w:t>
            </w:r>
          </w:p>
        </w:tc>
        <w:tc>
          <w:tcPr>
            <w:tcW w:w="8009" w:type="dxa"/>
          </w:tcPr>
          <w:p w:rsidR="00E66558" w:rsidRDefault="00EA7F64" w14:paraId="2A7D54F7" w14:textId="0C7890DB">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Increased </w:t>
            </w:r>
            <w:r w:rsidR="000D6423">
              <w:rPr>
                <w:sz w:val="22"/>
                <w:szCs w:val="22"/>
              </w:rPr>
              <w:t xml:space="preserve"> numbers of children living in disadvantage have speech</w:t>
            </w:r>
            <w:r w:rsidR="00444BE7">
              <w:rPr>
                <w:sz w:val="22"/>
                <w:szCs w:val="22"/>
              </w:rPr>
              <w:t xml:space="preserve"> and</w:t>
            </w:r>
            <w:r w:rsidR="000D6423">
              <w:rPr>
                <w:sz w:val="22"/>
                <w:szCs w:val="22"/>
              </w:rPr>
              <w:t xml:space="preserve"> language needs.</w:t>
            </w:r>
            <w:r w:rsidR="004F5E6A">
              <w:rPr>
                <w:sz w:val="22"/>
                <w:szCs w:val="22"/>
              </w:rPr>
              <w:t xml:space="preserve">(Of children identified at baseline assessment in </w:t>
            </w:r>
            <w:r w:rsidRPr="00A47B8F" w:rsidR="004F5E6A">
              <w:rPr>
                <w:sz w:val="22"/>
                <w:szCs w:val="22"/>
              </w:rPr>
              <w:t xml:space="preserve">reception </w:t>
            </w:r>
            <w:r w:rsidRPr="00A47B8F" w:rsidR="00A47B8F">
              <w:rPr>
                <w:sz w:val="22"/>
                <w:szCs w:val="22"/>
              </w:rPr>
              <w:t>100</w:t>
            </w:r>
            <w:r w:rsidRPr="00A47B8F" w:rsidR="004F5E6A">
              <w:rPr>
                <w:sz w:val="22"/>
                <w:szCs w:val="22"/>
              </w:rPr>
              <w:t>% FSM)</w:t>
            </w:r>
            <w:r w:rsidR="004F5E6A">
              <w:rPr>
                <w:sz w:val="22"/>
                <w:szCs w:val="22"/>
              </w:rPr>
              <w:t xml:space="preserve"> </w:t>
            </w:r>
          </w:p>
        </w:tc>
      </w:tr>
      <w:tr w:rsidR="00E66558" w:rsidTr="00977CF6" w14:paraId="2A7D54FE" w14:textId="77777777">
        <w:tc>
          <w:tcPr>
            <w:cnfStyle w:val="001000000000" w:firstRow="0" w:lastRow="0" w:firstColumn="1" w:lastColumn="0" w:oddVBand="0" w:evenVBand="0" w:oddHBand="0" w:evenHBand="0" w:firstRowFirstColumn="0" w:firstRowLastColumn="0" w:lastRowFirstColumn="0" w:lastRowLastColumn="0"/>
            <w:tcW w:w="1477" w:type="dxa"/>
          </w:tcPr>
          <w:p w:rsidR="00E66558" w:rsidRDefault="00306516" w14:paraId="2A7D54FC" w14:textId="29897995">
            <w:pPr>
              <w:pStyle w:val="TableRow"/>
              <w:rPr>
                <w:sz w:val="22"/>
                <w:szCs w:val="22"/>
              </w:rPr>
            </w:pPr>
            <w:bookmarkStart w:name="_Toc443397160" w:id="18"/>
            <w:r>
              <w:rPr>
                <w:sz w:val="22"/>
                <w:szCs w:val="22"/>
              </w:rPr>
              <w:t>4</w:t>
            </w:r>
          </w:p>
        </w:tc>
        <w:tc>
          <w:tcPr>
            <w:tcW w:w="8009" w:type="dxa"/>
          </w:tcPr>
          <w:p w:rsidR="00E66558" w:rsidP="5D3B3201" w:rsidRDefault="108C745F" w14:paraId="2A7D54FD" w14:textId="24C910F0">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sidRPr="5D3B3201">
              <w:rPr>
                <w:sz w:val="22"/>
                <w:szCs w:val="22"/>
              </w:rPr>
              <w:t xml:space="preserve">Increasing numbers of children show the signs and symptoms </w:t>
            </w:r>
            <w:r w:rsidRPr="5D3B3201" w:rsidR="6CFE7A38">
              <w:rPr>
                <w:sz w:val="22"/>
                <w:szCs w:val="22"/>
              </w:rPr>
              <w:t>of low self-efficacy: avoidance of challenge, low motivation, self-doubt</w:t>
            </w:r>
            <w:r w:rsidRPr="5D3B3201" w:rsidR="40A0F01B">
              <w:rPr>
                <w:sz w:val="22"/>
                <w:szCs w:val="22"/>
              </w:rPr>
              <w:t>,</w:t>
            </w:r>
            <w:r w:rsidRPr="5D3B3201" w:rsidR="6CFE7A38">
              <w:rPr>
                <w:sz w:val="22"/>
                <w:szCs w:val="22"/>
              </w:rPr>
              <w:t xml:space="preserve"> </w:t>
            </w:r>
            <w:r w:rsidRPr="5D3B3201" w:rsidR="71165D24">
              <w:rPr>
                <w:sz w:val="22"/>
                <w:szCs w:val="22"/>
              </w:rPr>
              <w:t>anxiety a</w:t>
            </w:r>
            <w:r w:rsidRPr="5D3B3201" w:rsidR="2236F25D">
              <w:rPr>
                <w:sz w:val="22"/>
                <w:szCs w:val="22"/>
              </w:rPr>
              <w:t xml:space="preserve">nd stress. </w:t>
            </w:r>
          </w:p>
        </w:tc>
      </w:tr>
      <w:tr w:rsidR="00A476F2" w:rsidTr="00977CF6" w14:paraId="3C1A4D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rsidR="00A476F2" w:rsidRDefault="00A476F2" w14:paraId="5B80C72C" w14:textId="581C51F6">
            <w:pPr>
              <w:pStyle w:val="TableRow"/>
              <w:rPr>
                <w:sz w:val="22"/>
                <w:szCs w:val="22"/>
              </w:rPr>
            </w:pPr>
            <w:r>
              <w:rPr>
                <w:sz w:val="22"/>
                <w:szCs w:val="22"/>
              </w:rPr>
              <w:t>5</w:t>
            </w:r>
          </w:p>
        </w:tc>
        <w:tc>
          <w:tcPr>
            <w:tcW w:w="8009" w:type="dxa"/>
          </w:tcPr>
          <w:p w:rsidR="00A476F2" w:rsidP="5D3B3201" w:rsidRDefault="00A476F2" w14:paraId="2E9CC9A3" w14:textId="0630941A">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Attendance levels in our pupils with disadvantage is higher than</w:t>
            </w:r>
            <w:r w:rsidR="000F3E6E">
              <w:rPr>
                <w:sz w:val="22"/>
                <w:szCs w:val="22"/>
              </w:rPr>
              <w:t xml:space="preserve"> those living  without </w:t>
            </w:r>
            <w:r>
              <w:rPr>
                <w:sz w:val="22"/>
                <w:szCs w:val="22"/>
              </w:rPr>
              <w:t>disadvantage</w:t>
            </w:r>
          </w:p>
          <w:p w:rsidR="00D74956" w:rsidP="5D3B3201" w:rsidRDefault="00D74956" w14:paraId="3F789178" w14:textId="1F54AB28">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(FS</w:t>
            </w:r>
            <w:r w:rsidR="00D620D3">
              <w:rPr>
                <w:sz w:val="22"/>
                <w:szCs w:val="22"/>
              </w:rPr>
              <w:t>M</w:t>
            </w:r>
            <w:r>
              <w:rPr>
                <w:sz w:val="22"/>
                <w:szCs w:val="22"/>
              </w:rPr>
              <w:t xml:space="preserve"> a</w:t>
            </w:r>
            <w:r w:rsidR="00D620D3">
              <w:rPr>
                <w:sz w:val="22"/>
                <w:szCs w:val="22"/>
              </w:rPr>
              <w:t>ttendance</w:t>
            </w:r>
            <w:r w:rsidR="00D46EFF">
              <w:rPr>
                <w:sz w:val="22"/>
                <w:szCs w:val="22"/>
              </w:rPr>
              <w:t xml:space="preserve"> 88.5%</w:t>
            </w:r>
            <w:r>
              <w:rPr>
                <w:sz w:val="22"/>
                <w:szCs w:val="22"/>
              </w:rPr>
              <w:t xml:space="preserve"> vs Non FSM a</w:t>
            </w:r>
            <w:r w:rsidR="00D620D3">
              <w:rPr>
                <w:sz w:val="22"/>
                <w:szCs w:val="22"/>
              </w:rPr>
              <w:t>ttendance</w:t>
            </w:r>
            <w:r w:rsidR="00D46EFF">
              <w:rPr>
                <w:sz w:val="22"/>
                <w:szCs w:val="22"/>
              </w:rPr>
              <w:t xml:space="preserve"> 95.4%)</w:t>
            </w:r>
          </w:p>
          <w:p w:rsidRPr="5D3B3201" w:rsidR="00FE4714" w:rsidP="5D3B3201" w:rsidRDefault="00D46EFF" w14:paraId="7665D7F2" w14:textId="52C40FEE">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r w:rsidR="00FE4714">
              <w:rPr>
                <w:sz w:val="22"/>
                <w:szCs w:val="22"/>
              </w:rPr>
              <w:t>FS</w:t>
            </w:r>
            <w:r w:rsidR="00D620D3">
              <w:rPr>
                <w:sz w:val="22"/>
                <w:szCs w:val="22"/>
              </w:rPr>
              <w:t>M</w:t>
            </w:r>
            <w:r w:rsidR="00FE4714">
              <w:rPr>
                <w:sz w:val="22"/>
                <w:szCs w:val="22"/>
              </w:rPr>
              <w:t xml:space="preserve"> PA </w:t>
            </w:r>
            <w:r w:rsidR="00D620D3">
              <w:rPr>
                <w:sz w:val="22"/>
                <w:szCs w:val="22"/>
              </w:rPr>
              <w:t>41%</w:t>
            </w:r>
            <w:r w:rsidR="00FE4714">
              <w:rPr>
                <w:sz w:val="22"/>
                <w:szCs w:val="22"/>
              </w:rPr>
              <w:t xml:space="preserve">  vs Non FSM PA  </w:t>
            </w:r>
            <w:r w:rsidR="00D620D3">
              <w:rPr>
                <w:sz w:val="22"/>
                <w:szCs w:val="22"/>
              </w:rPr>
              <w:t>17%</w:t>
            </w:r>
            <w:r w:rsidR="00FE4714">
              <w:rPr>
                <w:sz w:val="22"/>
                <w:szCs w:val="22"/>
              </w:rPr>
              <w:t>%</w:t>
            </w:r>
            <w:r>
              <w:rPr>
                <w:sz w:val="22"/>
                <w:szCs w:val="22"/>
              </w:rPr>
              <w:t>)</w:t>
            </w:r>
          </w:p>
        </w:tc>
      </w:tr>
      <w:tr w:rsidR="00AB7C6B" w:rsidTr="00977CF6" w14:paraId="68ABD988" w14:textId="77777777">
        <w:tc>
          <w:tcPr>
            <w:cnfStyle w:val="001000000000" w:firstRow="0" w:lastRow="0" w:firstColumn="1" w:lastColumn="0" w:oddVBand="0" w:evenVBand="0" w:oddHBand="0" w:evenHBand="0" w:firstRowFirstColumn="0" w:firstRowLastColumn="0" w:lastRowFirstColumn="0" w:lastRowLastColumn="0"/>
            <w:tcW w:w="1477" w:type="dxa"/>
          </w:tcPr>
          <w:p w:rsidR="00AB7C6B" w:rsidRDefault="00AB7C6B" w14:paraId="1D438E0D" w14:textId="37F3570F">
            <w:pPr>
              <w:pStyle w:val="TableRow"/>
              <w:rPr>
                <w:sz w:val="22"/>
                <w:szCs w:val="22"/>
              </w:rPr>
            </w:pPr>
            <w:r>
              <w:rPr>
                <w:sz w:val="22"/>
                <w:szCs w:val="22"/>
              </w:rPr>
              <w:t xml:space="preserve">6. </w:t>
            </w:r>
          </w:p>
        </w:tc>
        <w:tc>
          <w:tcPr>
            <w:tcW w:w="8009" w:type="dxa"/>
          </w:tcPr>
          <w:p w:rsidR="00AB7C6B" w:rsidP="5D3B3201" w:rsidRDefault="00AB7C6B" w14:paraId="032EA50F"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gap in attainment between those children in receipt of pupil premium and those not in receipt of pupil </w:t>
            </w:r>
            <w:r w:rsidR="00863F5E">
              <w:rPr>
                <w:sz w:val="22"/>
                <w:szCs w:val="22"/>
              </w:rPr>
              <w:t xml:space="preserve">is significant in all </w:t>
            </w:r>
            <w:r w:rsidR="00977CF6">
              <w:rPr>
                <w:sz w:val="22"/>
                <w:szCs w:val="22"/>
              </w:rPr>
              <w:t xml:space="preserve">statutory testing. </w:t>
            </w:r>
          </w:p>
          <w:p w:rsidR="00975F99" w:rsidP="5D3B3201" w:rsidRDefault="00975F99" w14:paraId="72956A26" w14:textId="49168E22">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EYFS GLD FSM</w:t>
            </w:r>
            <w:r w:rsidR="00D912F7">
              <w:rPr>
                <w:sz w:val="22"/>
                <w:szCs w:val="22"/>
              </w:rPr>
              <w:t xml:space="preserve">  vs non-FSM</w:t>
            </w:r>
          </w:p>
          <w:p w:rsidR="00DA6F6A" w:rsidP="5D3B3201" w:rsidRDefault="00DA6F6A" w14:paraId="10D22C7E"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Phonics </w:t>
            </w:r>
            <w:r w:rsidR="00E572A3">
              <w:rPr>
                <w:sz w:val="22"/>
                <w:szCs w:val="22"/>
              </w:rPr>
              <w:t xml:space="preserve">@ 32 marks + FSM vs non-FSM </w:t>
            </w:r>
          </w:p>
          <w:p w:rsidR="00E572A3" w:rsidP="5D3B3201" w:rsidRDefault="00E572A3" w14:paraId="1906E463"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MTC ave. score FSM vs non FSM </w:t>
            </w:r>
          </w:p>
          <w:p w:rsidR="00B91971" w:rsidP="5D3B3201" w:rsidRDefault="00B91971" w14:paraId="4F64181B"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KS 2 Reading FSM 60% non FSM 74.5%</w:t>
            </w:r>
          </w:p>
          <w:p w:rsidR="00B91971" w:rsidP="5D3B3201" w:rsidRDefault="00B91971" w14:paraId="63B2E411"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KS 2 Writing FSM </w:t>
            </w:r>
            <w:r w:rsidR="001D3974">
              <w:rPr>
                <w:sz w:val="22"/>
                <w:szCs w:val="22"/>
              </w:rPr>
              <w:t>50% non FSM 78.5%</w:t>
            </w:r>
            <w:r>
              <w:rPr>
                <w:sz w:val="22"/>
                <w:szCs w:val="22"/>
              </w:rPr>
              <w:t xml:space="preserve"> </w:t>
            </w:r>
          </w:p>
          <w:p w:rsidR="001D3974" w:rsidP="5D3B3201" w:rsidRDefault="001D3974" w14:paraId="7F8D6DDF"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KS 2 Maths FSM 50%non FSM 78.4% </w:t>
            </w:r>
          </w:p>
          <w:p w:rsidR="001D3974" w:rsidP="5D3B3201" w:rsidRDefault="001D3974" w14:paraId="43AD4138" w14:textId="0CFF2486">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KS2 combined FSM 40% non FSM 62.7%</w:t>
            </w:r>
          </w:p>
        </w:tc>
      </w:tr>
    </w:tbl>
    <w:p w:rsidR="00E66558" w:rsidRDefault="009D71E8" w14:paraId="2A7D54FF" w14:textId="77777777">
      <w:pPr>
        <w:pStyle w:val="Heading2"/>
        <w:spacing w:before="600"/>
      </w:pPr>
      <w:r>
        <w:t xml:space="preserve">Intended </w:t>
      </w:r>
      <w:r w:rsidRPr="00A968DA">
        <w:t>outcomes</w:t>
      </w:r>
      <w:r>
        <w:t xml:space="preserve">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Style w:val="GridTable4-Accent5"/>
        <w:tblW w:w="5000" w:type="pct"/>
        <w:tblLook w:val="04A0" w:firstRow="1" w:lastRow="0" w:firstColumn="1" w:lastColumn="0" w:noHBand="0" w:noVBand="1"/>
      </w:tblPr>
      <w:tblGrid>
        <w:gridCol w:w="4815"/>
        <w:gridCol w:w="4671"/>
      </w:tblGrid>
      <w:tr w:rsidR="00E66558" w:rsidTr="58C6B69B" w14:paraId="2A7D55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Mar/>
          </w:tcPr>
          <w:p w:rsidR="00E66558" w:rsidRDefault="009D71E8" w14:paraId="2A7D5501" w14:textId="77777777">
            <w:pPr>
              <w:pStyle w:val="TableHeader"/>
              <w:jc w:val="left"/>
            </w:pPr>
            <w:r>
              <w:t>Intended outcome</w:t>
            </w:r>
          </w:p>
        </w:tc>
        <w:tc>
          <w:tcPr>
            <w:cnfStyle w:val="000000000000" w:firstRow="0" w:lastRow="0" w:firstColumn="0" w:lastColumn="0" w:oddVBand="0" w:evenVBand="0" w:oddHBand="0" w:evenHBand="0" w:firstRowFirstColumn="0" w:firstRowLastColumn="0" w:lastRowFirstColumn="0" w:lastRowLastColumn="0"/>
            <w:tcW w:w="4671" w:type="dxa"/>
            <w:tcMar/>
          </w:tcPr>
          <w:p w:rsidR="00E66558" w:rsidRDefault="009D71E8" w14:paraId="2A7D5502" w14:textId="77777777">
            <w:pPr>
              <w:pStyle w:val="TableHeader"/>
              <w:jc w:val="left"/>
              <w:cnfStyle w:val="100000000000" w:firstRow="1" w:lastRow="0" w:firstColumn="0" w:lastColumn="0" w:oddVBand="0" w:evenVBand="0" w:oddHBand="0" w:evenHBand="0" w:firstRowFirstColumn="0" w:firstRowLastColumn="0" w:lastRowFirstColumn="0" w:lastRowLastColumn="0"/>
            </w:pPr>
            <w:r>
              <w:t>Success criteria</w:t>
            </w:r>
          </w:p>
        </w:tc>
      </w:tr>
      <w:tr w:rsidR="00E66558" w:rsidTr="58C6B69B" w14:paraId="2A7D55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Mar/>
          </w:tcPr>
          <w:p w:rsidRPr="00E47887" w:rsidR="00E66558" w:rsidP="00E47887" w:rsidRDefault="005D13C1" w14:paraId="2A7D5504" w14:textId="7C308228">
            <w:pPr>
              <w:pStyle w:val="TableRow"/>
              <w:ind w:left="0"/>
            </w:pPr>
            <w:r>
              <w:t>To enrich and broaden our children’s understanding of cultural diversity within Britain and around the world</w:t>
            </w:r>
          </w:p>
        </w:tc>
        <w:tc>
          <w:tcPr>
            <w:cnfStyle w:val="000000000000" w:firstRow="0" w:lastRow="0" w:firstColumn="0" w:lastColumn="0" w:oddVBand="0" w:evenVBand="0" w:oddHBand="0" w:evenHBand="0" w:firstRowFirstColumn="0" w:firstRowLastColumn="0" w:lastRowFirstColumn="0" w:lastRowLastColumn="0"/>
            <w:tcW w:w="4671" w:type="dxa"/>
            <w:tcMar/>
          </w:tcPr>
          <w:p w:rsidR="00E66558" w:rsidRDefault="00E47887" w14:paraId="2A7D5505" w14:textId="6A18135E">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Children </w:t>
            </w:r>
            <w:r w:rsidR="00EA5FD8">
              <w:rPr>
                <w:sz w:val="22"/>
                <w:szCs w:val="22"/>
              </w:rPr>
              <w:t>have a knowledge of the cultural diversity within</w:t>
            </w:r>
            <w:r>
              <w:rPr>
                <w:sz w:val="22"/>
                <w:szCs w:val="22"/>
              </w:rPr>
              <w:t xml:space="preserve"> their own community</w:t>
            </w:r>
            <w:r w:rsidR="00EA5FD8">
              <w:rPr>
                <w:sz w:val="22"/>
                <w:szCs w:val="22"/>
              </w:rPr>
              <w:t>, the UK and beyond. They are inquisitive and</w:t>
            </w:r>
            <w:r w:rsidR="005D13C1">
              <w:rPr>
                <w:sz w:val="22"/>
                <w:szCs w:val="22"/>
              </w:rPr>
              <w:t xml:space="preserve"> talk </w:t>
            </w:r>
            <w:r w:rsidR="00EA5FD8">
              <w:rPr>
                <w:sz w:val="22"/>
                <w:szCs w:val="22"/>
              </w:rPr>
              <w:t>positively</w:t>
            </w:r>
            <w:r w:rsidR="005D13C1">
              <w:rPr>
                <w:sz w:val="22"/>
                <w:szCs w:val="22"/>
              </w:rPr>
              <w:t xml:space="preserve"> about a range of cultures different to their own</w:t>
            </w:r>
            <w:r w:rsidR="00EA5FD8">
              <w:rPr>
                <w:sz w:val="22"/>
                <w:szCs w:val="22"/>
              </w:rPr>
              <w:t>.</w:t>
            </w:r>
          </w:p>
        </w:tc>
      </w:tr>
      <w:tr w:rsidR="00E66558" w:rsidTr="58C6B69B" w14:paraId="2A7D5509" w14:textId="77777777">
        <w:tc>
          <w:tcPr>
            <w:cnfStyle w:val="001000000000" w:firstRow="0" w:lastRow="0" w:firstColumn="1" w:lastColumn="0" w:oddVBand="0" w:evenVBand="0" w:oddHBand="0" w:evenHBand="0" w:firstRowFirstColumn="0" w:firstRowLastColumn="0" w:lastRowFirstColumn="0" w:lastRowLastColumn="0"/>
            <w:tcW w:w="4815" w:type="dxa"/>
            <w:tcMar/>
          </w:tcPr>
          <w:p w:rsidR="00E66558" w:rsidRDefault="000E668D" w14:paraId="2A7D5507" w14:textId="319A9AB6">
            <w:pPr>
              <w:pStyle w:val="TableRow"/>
              <w:rPr>
                <w:sz w:val="22"/>
                <w:szCs w:val="22"/>
              </w:rPr>
            </w:pPr>
            <w:r>
              <w:rPr>
                <w:sz w:val="22"/>
                <w:szCs w:val="22"/>
              </w:rPr>
              <w:t>To decrease the word-gap between children living with disadvantage and their peers.</w:t>
            </w:r>
          </w:p>
        </w:tc>
        <w:tc>
          <w:tcPr>
            <w:cnfStyle w:val="000000000000" w:firstRow="0" w:lastRow="0" w:firstColumn="0" w:lastColumn="0" w:oddVBand="0" w:evenVBand="0" w:oddHBand="0" w:evenHBand="0" w:firstRowFirstColumn="0" w:firstRowLastColumn="0" w:lastRowFirstColumn="0" w:lastRowLastColumn="0"/>
            <w:tcW w:w="4671" w:type="dxa"/>
            <w:tcMar/>
          </w:tcPr>
          <w:p w:rsidR="00E66558" w:rsidP="000E668D" w:rsidRDefault="000E668D" w14:paraId="2A7D5508" w14:textId="57710530">
            <w:pPr>
              <w:pStyle w:val="TableRowCentered"/>
              <w:ind w:left="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More children have access to books at home, and parents read more frequently with their children. Teachers deliver quality </w:t>
            </w:r>
            <w:r w:rsidR="00E4500F">
              <w:rPr>
                <w:sz w:val="22"/>
                <w:szCs w:val="22"/>
              </w:rPr>
              <w:t xml:space="preserve">first </w:t>
            </w:r>
            <w:r>
              <w:rPr>
                <w:sz w:val="22"/>
                <w:szCs w:val="22"/>
              </w:rPr>
              <w:t>teac</w:t>
            </w:r>
            <w:r w:rsidR="00E4500F">
              <w:rPr>
                <w:sz w:val="22"/>
                <w:szCs w:val="22"/>
              </w:rPr>
              <w:t>h</w:t>
            </w:r>
            <w:r>
              <w:rPr>
                <w:sz w:val="22"/>
                <w:szCs w:val="22"/>
              </w:rPr>
              <w:t xml:space="preserve">ing </w:t>
            </w:r>
            <w:r w:rsidR="00E4500F">
              <w:rPr>
                <w:sz w:val="22"/>
                <w:szCs w:val="22"/>
              </w:rPr>
              <w:t>for oracy.</w:t>
            </w:r>
          </w:p>
        </w:tc>
      </w:tr>
      <w:tr w:rsidR="00E66558" w:rsidTr="58C6B69B" w14:paraId="2A7D55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Mar/>
          </w:tcPr>
          <w:p w:rsidR="00E66558" w:rsidRDefault="000D6423" w14:paraId="2A7D550A" w14:textId="761DC25D">
            <w:pPr>
              <w:pStyle w:val="TableRow"/>
              <w:rPr>
                <w:sz w:val="22"/>
                <w:szCs w:val="22"/>
              </w:rPr>
            </w:pPr>
            <w:r>
              <w:rPr>
                <w:sz w:val="22"/>
                <w:szCs w:val="22"/>
              </w:rPr>
              <w:t>To ensure children with speech</w:t>
            </w:r>
            <w:r w:rsidR="00444BE7">
              <w:rPr>
                <w:sz w:val="22"/>
                <w:szCs w:val="22"/>
              </w:rPr>
              <w:t xml:space="preserve"> and</w:t>
            </w:r>
            <w:r>
              <w:rPr>
                <w:sz w:val="22"/>
                <w:szCs w:val="22"/>
              </w:rPr>
              <w:t xml:space="preserve"> langua</w:t>
            </w:r>
            <w:r w:rsidR="00444BE7">
              <w:rPr>
                <w:sz w:val="22"/>
                <w:szCs w:val="22"/>
              </w:rPr>
              <w:t xml:space="preserve">ge </w:t>
            </w:r>
            <w:r>
              <w:rPr>
                <w:sz w:val="22"/>
                <w:szCs w:val="22"/>
              </w:rPr>
              <w:t>needs have timely, targeted interventions to address their individual needs.</w:t>
            </w:r>
          </w:p>
        </w:tc>
        <w:tc>
          <w:tcPr>
            <w:cnfStyle w:val="000000000000" w:firstRow="0" w:lastRow="0" w:firstColumn="0" w:lastColumn="0" w:oddVBand="0" w:evenVBand="0" w:oddHBand="0" w:evenHBand="0" w:firstRowFirstColumn="0" w:firstRowLastColumn="0" w:lastRowFirstColumn="0" w:lastRowLastColumn="0"/>
            <w:tcW w:w="4671" w:type="dxa"/>
            <w:tcMar/>
          </w:tcPr>
          <w:p w:rsidR="00E66558" w:rsidRDefault="000D6423" w14:paraId="2A7D550B" w14:textId="3D81361A">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Children with speech</w:t>
            </w:r>
            <w:r w:rsidR="00444BE7">
              <w:rPr>
                <w:sz w:val="22"/>
                <w:szCs w:val="22"/>
              </w:rPr>
              <w:t xml:space="preserve"> and</w:t>
            </w:r>
            <w:r>
              <w:rPr>
                <w:sz w:val="22"/>
                <w:szCs w:val="22"/>
              </w:rPr>
              <w:t xml:space="preserve"> language needs make accelerated progress and/or catch-up with developmental speech and language norms.</w:t>
            </w:r>
          </w:p>
        </w:tc>
      </w:tr>
      <w:tr w:rsidR="002E71D6" w:rsidTr="58C6B69B" w14:paraId="2A7D550F" w14:textId="77777777">
        <w:tc>
          <w:tcPr>
            <w:cnfStyle w:val="001000000000" w:firstRow="0" w:lastRow="0" w:firstColumn="1" w:lastColumn="0" w:oddVBand="0" w:evenVBand="0" w:oddHBand="0" w:evenHBand="0" w:firstRowFirstColumn="0" w:firstRowLastColumn="0" w:lastRowFirstColumn="0" w:lastRowLastColumn="0"/>
            <w:tcW w:w="4815" w:type="dxa"/>
            <w:tcMar/>
          </w:tcPr>
          <w:p w:rsidR="002E71D6" w:rsidP="002E71D6" w:rsidRDefault="002E71D6" w14:paraId="2A7D550D" w14:textId="11938563">
            <w:pPr>
              <w:pStyle w:val="TableRow"/>
              <w:rPr>
                <w:sz w:val="22"/>
                <w:szCs w:val="22"/>
              </w:rPr>
            </w:pPr>
            <w:r w:rsidRPr="5D3B3201">
              <w:rPr>
                <w:sz w:val="22"/>
                <w:szCs w:val="22"/>
              </w:rPr>
              <w:t>To raise children’s self-efficacy: their belief in their actions mak</w:t>
            </w:r>
            <w:r w:rsidR="00AA5F6E">
              <w:rPr>
                <w:sz w:val="22"/>
                <w:szCs w:val="22"/>
              </w:rPr>
              <w:t>es</w:t>
            </w:r>
            <w:r w:rsidRPr="5D3B3201">
              <w:rPr>
                <w:sz w:val="22"/>
                <w:szCs w:val="22"/>
              </w:rPr>
              <w:t xml:space="preserve"> a difference and therefore </w:t>
            </w:r>
            <w:r w:rsidR="00AA5F6E">
              <w:rPr>
                <w:sz w:val="22"/>
                <w:szCs w:val="22"/>
              </w:rPr>
              <w:t xml:space="preserve">they are </w:t>
            </w:r>
            <w:r w:rsidRPr="5D3B3201">
              <w:rPr>
                <w:sz w:val="22"/>
                <w:szCs w:val="22"/>
              </w:rPr>
              <w:t xml:space="preserve">able to succeed. </w:t>
            </w:r>
          </w:p>
        </w:tc>
        <w:tc>
          <w:tcPr>
            <w:cnfStyle w:val="000000000000" w:firstRow="0" w:lastRow="0" w:firstColumn="0" w:lastColumn="0" w:oddVBand="0" w:evenVBand="0" w:oddHBand="0" w:evenHBand="0" w:firstRowFirstColumn="0" w:firstRowLastColumn="0" w:lastRowFirstColumn="0" w:lastRowLastColumn="0"/>
            <w:tcW w:w="4671" w:type="dxa"/>
            <w:tcMar/>
          </w:tcPr>
          <w:p w:rsidR="002E71D6" w:rsidP="002E71D6" w:rsidRDefault="002E71D6" w14:paraId="2A7D550E" w14:textId="42BA07D0">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sidRPr="5D3B3201">
              <w:rPr>
                <w:sz w:val="22"/>
                <w:szCs w:val="22"/>
              </w:rPr>
              <w:t>Children’s have increased confidence in their ability to learn and succeed. Staff have the skills to promote self-efficacy through quality first teaching. School Culture promotes self-</w:t>
            </w:r>
            <w:bookmarkStart w:name="_Int_Tr37Db7Q" w:id="19"/>
            <w:r w:rsidRPr="5D3B3201">
              <w:rPr>
                <w:sz w:val="22"/>
                <w:szCs w:val="22"/>
              </w:rPr>
              <w:t>efficacy</w:t>
            </w:r>
            <w:bookmarkEnd w:id="19"/>
            <w:r w:rsidRPr="5D3B3201">
              <w:rPr>
                <w:sz w:val="22"/>
                <w:szCs w:val="22"/>
              </w:rPr>
              <w:t xml:space="preserve"> for all stakeholders.</w:t>
            </w:r>
          </w:p>
        </w:tc>
      </w:tr>
      <w:tr w:rsidR="002E71D6" w:rsidTr="58C6B69B" w14:paraId="6C1D857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Mar/>
          </w:tcPr>
          <w:p w:rsidRPr="00AA5F6E" w:rsidR="002E71D6" w:rsidP="002E71D6" w:rsidRDefault="002E71D6" w14:paraId="669D4FD9" w14:textId="53C29270">
            <w:pPr>
              <w:pStyle w:val="TableRow"/>
              <w:spacing w:line="259" w:lineRule="auto"/>
              <w:rPr>
                <w:sz w:val="22"/>
                <w:szCs w:val="22"/>
              </w:rPr>
            </w:pPr>
            <w:r w:rsidRPr="00AA5F6E">
              <w:rPr>
                <w:sz w:val="22"/>
                <w:szCs w:val="22"/>
              </w:rPr>
              <w:t>To increase attendance %</w:t>
            </w:r>
            <w:r w:rsidRPr="00AA5F6E" w:rsidR="00A15601">
              <w:rPr>
                <w:sz w:val="22"/>
                <w:szCs w:val="22"/>
              </w:rPr>
              <w:t xml:space="preserve"> for all children to </w:t>
            </w:r>
            <w:r w:rsidRPr="00AA5F6E" w:rsidR="004202E5">
              <w:rPr>
                <w:sz w:val="22"/>
                <w:szCs w:val="22"/>
              </w:rPr>
              <w:t>above 95%</w:t>
            </w:r>
          </w:p>
        </w:tc>
        <w:tc>
          <w:tcPr>
            <w:cnfStyle w:val="000000000000" w:firstRow="0" w:lastRow="0" w:firstColumn="0" w:lastColumn="0" w:oddVBand="0" w:evenVBand="0" w:oddHBand="0" w:evenHBand="0" w:firstRowFirstColumn="0" w:firstRowLastColumn="0" w:lastRowFirstColumn="0" w:lastRowLastColumn="0"/>
            <w:tcW w:w="4671" w:type="dxa"/>
            <w:tcMar/>
          </w:tcPr>
          <w:p w:rsidRPr="00AA5F6E" w:rsidR="004202E5" w:rsidP="002E71D6" w:rsidRDefault="004202E5" w14:paraId="3461105C" w14:textId="00652C3C">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sidRPr="00AA5F6E">
              <w:rPr>
                <w:sz w:val="22"/>
                <w:szCs w:val="22"/>
              </w:rPr>
              <w:t xml:space="preserve">A thorough and </w:t>
            </w:r>
            <w:r w:rsidRPr="00AA5F6E" w:rsidR="003140C4">
              <w:rPr>
                <w:sz w:val="22"/>
                <w:szCs w:val="22"/>
              </w:rPr>
              <w:t xml:space="preserve">consistent approach to attendance management is in place. </w:t>
            </w:r>
          </w:p>
          <w:p w:rsidRPr="00AA5F6E" w:rsidR="00121D18" w:rsidP="002E71D6" w:rsidRDefault="00121D18" w14:paraId="6D4A9644" w14:textId="06DC8140">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sidRPr="00AA5F6E">
              <w:rPr>
                <w:sz w:val="22"/>
                <w:szCs w:val="22"/>
              </w:rPr>
              <w:t xml:space="preserve">The </w:t>
            </w:r>
            <w:r w:rsidRPr="00AA5F6E" w:rsidR="001811C4">
              <w:rPr>
                <w:sz w:val="22"/>
                <w:szCs w:val="22"/>
              </w:rPr>
              <w:t xml:space="preserve">differential between those in receipt of PP and those not in receipt of PP will have significantly decreased. </w:t>
            </w:r>
          </w:p>
          <w:p w:rsidRPr="00AA5F6E" w:rsidR="001811C4" w:rsidP="002E71D6" w:rsidRDefault="001811C4" w14:paraId="2FAA1016" w14:textId="1A73B7C6">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sidRPr="00AA5F6E">
              <w:rPr>
                <w:sz w:val="22"/>
                <w:szCs w:val="22"/>
              </w:rPr>
              <w:t xml:space="preserve">Individual PA and SA cases will have </w:t>
            </w:r>
            <w:r w:rsidRPr="00AA5F6E" w:rsidR="00C76675">
              <w:rPr>
                <w:sz w:val="22"/>
                <w:szCs w:val="22"/>
              </w:rPr>
              <w:t xml:space="preserve">significantly decreased. </w:t>
            </w:r>
          </w:p>
          <w:p w:rsidRPr="00AA5F6E" w:rsidR="002E71D6" w:rsidP="002E71D6" w:rsidRDefault="002E71D6" w14:paraId="1BEFB0DB" w14:textId="645DF035">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AA5F6E" w:rsidTr="58C6B69B" w14:paraId="37D510F7" w14:textId="77777777">
        <w:trPr>
          <w:trHeight w:val="300"/>
        </w:trPr>
        <w:tc>
          <w:tcPr>
            <w:cnfStyle w:val="001000000000" w:firstRow="0" w:lastRow="0" w:firstColumn="1" w:lastColumn="0" w:oddVBand="0" w:evenVBand="0" w:oddHBand="0" w:evenHBand="0" w:firstRowFirstColumn="0" w:firstRowLastColumn="0" w:lastRowFirstColumn="0" w:lastRowLastColumn="0"/>
            <w:tcW w:w="4815" w:type="dxa"/>
            <w:tcMar/>
          </w:tcPr>
          <w:p w:rsidRPr="00AA5F6E" w:rsidR="00AA5F6E" w:rsidP="002E71D6" w:rsidRDefault="00AA5F6E" w14:paraId="73DA7C89" w14:textId="5B3284A5">
            <w:pPr>
              <w:pStyle w:val="TableRow"/>
              <w:spacing w:line="259" w:lineRule="auto"/>
              <w:rPr>
                <w:sz w:val="22"/>
                <w:szCs w:val="22"/>
              </w:rPr>
            </w:pPr>
            <w:r w:rsidRPr="58C6B69B" w:rsidR="11233762">
              <w:rPr>
                <w:sz w:val="22"/>
                <w:szCs w:val="22"/>
              </w:rPr>
              <w:t>To ra</w:t>
            </w:r>
            <w:r w:rsidRPr="58C6B69B" w:rsidR="17770EB2">
              <w:rPr>
                <w:sz w:val="22"/>
                <w:szCs w:val="22"/>
              </w:rPr>
              <w:t xml:space="preserve">ise attainment within our disadvantaged group so that it is </w:t>
            </w:r>
            <w:r w:rsidRPr="58C6B69B" w:rsidR="5E7E3FCF">
              <w:rPr>
                <w:sz w:val="22"/>
                <w:szCs w:val="22"/>
              </w:rPr>
              <w:t>in line</w:t>
            </w:r>
            <w:r w:rsidRPr="58C6B69B" w:rsidR="17770EB2">
              <w:rPr>
                <w:sz w:val="22"/>
                <w:szCs w:val="22"/>
              </w:rPr>
              <w:t xml:space="preserve"> with non-disadvantaged children </w:t>
            </w:r>
          </w:p>
        </w:tc>
        <w:tc>
          <w:tcPr>
            <w:cnfStyle w:val="000000000000" w:firstRow="0" w:lastRow="0" w:firstColumn="0" w:lastColumn="0" w:oddVBand="0" w:evenVBand="0" w:oddHBand="0" w:evenHBand="0" w:firstRowFirstColumn="0" w:firstRowLastColumn="0" w:lastRowFirstColumn="0" w:lastRowLastColumn="0"/>
            <w:tcW w:w="4671" w:type="dxa"/>
            <w:tcMar/>
          </w:tcPr>
          <w:p w:rsidR="00AA5F6E" w:rsidP="002E71D6" w:rsidRDefault="00B2489F" w14:paraId="08CB1E82"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Children </w:t>
            </w:r>
            <w:r w:rsidR="00A67A9D">
              <w:rPr>
                <w:sz w:val="22"/>
                <w:szCs w:val="22"/>
              </w:rPr>
              <w:t xml:space="preserve">with disadvantage make accelerated progress </w:t>
            </w:r>
            <w:r w:rsidR="006433E2">
              <w:rPr>
                <w:sz w:val="22"/>
                <w:szCs w:val="22"/>
              </w:rPr>
              <w:t xml:space="preserve">from their starting points. </w:t>
            </w:r>
          </w:p>
          <w:p w:rsidR="006433E2" w:rsidP="002E71D6" w:rsidRDefault="006433E2" w14:paraId="540E8EE1"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Gaps at baseline are clos</w:t>
            </w:r>
            <w:r w:rsidR="00ED0CED">
              <w:rPr>
                <w:sz w:val="22"/>
                <w:szCs w:val="22"/>
              </w:rPr>
              <w:t xml:space="preserve">ing at the end of EYFS 2 </w:t>
            </w:r>
          </w:p>
          <w:p w:rsidR="00646BDC" w:rsidP="002E71D6" w:rsidRDefault="00646BDC" w14:paraId="57DB0BAE"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There is no gap in achievement at the Y1 PSC</w:t>
            </w:r>
          </w:p>
          <w:p w:rsidRPr="00AA5F6E" w:rsidR="00646BDC" w:rsidP="002E71D6" w:rsidRDefault="000F0866" w14:paraId="1FE88F7A" w14:textId="263878D9">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002B44CA">
              <w:rPr>
                <w:sz w:val="22"/>
                <w:szCs w:val="22"/>
              </w:rPr>
              <w:t xml:space="preserve">gap between disadvantaged and non disadvantaged by the end of KS2 will be completely closed. </w:t>
            </w:r>
          </w:p>
        </w:tc>
      </w:tr>
    </w:tbl>
    <w:p w:rsidR="00120AB1" w:rsidP="00ED5108" w:rsidRDefault="00120AB1" w14:paraId="60BAD9F6" w14:textId="77777777"/>
    <w:p w:rsidR="00E66558" w:rsidRDefault="009D71E8" w14:paraId="2A7D5512" w14:textId="7B489199">
      <w:pPr>
        <w:pStyle w:val="Heading2"/>
      </w:pPr>
      <w:r>
        <w:t>Activity in this academic year</w:t>
      </w:r>
    </w:p>
    <w:p w:rsidR="00E66558" w:rsidRDefault="009D71E8" w14:paraId="2A7D5513" w14:textId="603E7BD1">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4677E2CB">
      <w:r>
        <w:t>Budgeted cost: £</w:t>
      </w:r>
      <w:r w:rsidR="00A35178">
        <w:t>5,000</w:t>
      </w:r>
    </w:p>
    <w:tbl>
      <w:tblPr>
        <w:tblStyle w:val="GridTable4-Accent5"/>
        <w:tblW w:w="5000" w:type="pct"/>
        <w:tblLook w:val="04A0" w:firstRow="1" w:lastRow="0" w:firstColumn="1" w:lastColumn="0" w:noHBand="0" w:noVBand="1"/>
      </w:tblPr>
      <w:tblGrid>
        <w:gridCol w:w="3684"/>
        <w:gridCol w:w="4351"/>
        <w:gridCol w:w="1451"/>
      </w:tblGrid>
      <w:tr w:rsidR="00E66558" w:rsidTr="00D06495" w14:paraId="2A7D55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66558" w:rsidRDefault="009D71E8" w14:paraId="2A7D5516" w14:textId="77777777">
            <w:pPr>
              <w:pStyle w:val="TableHeader"/>
              <w:jc w:val="left"/>
            </w:pPr>
            <w:r>
              <w:t>Activity</w:t>
            </w:r>
          </w:p>
        </w:tc>
        <w:tc>
          <w:tcPr>
            <w:tcW w:w="4678" w:type="dxa"/>
          </w:tcPr>
          <w:p w:rsidR="00E66558" w:rsidRDefault="009D71E8" w14:paraId="2A7D5517" w14:textId="77777777">
            <w:pPr>
              <w:pStyle w:val="TableHeader"/>
              <w:jc w:val="left"/>
              <w:cnfStyle w:val="100000000000" w:firstRow="1" w:lastRow="0" w:firstColumn="0" w:lastColumn="0" w:oddVBand="0" w:evenVBand="0" w:oddHBand="0" w:evenHBand="0" w:firstRowFirstColumn="0" w:firstRowLastColumn="0" w:lastRowFirstColumn="0" w:lastRowLastColumn="0"/>
            </w:pPr>
            <w:r>
              <w:t>Evidence that supports this approach</w:t>
            </w:r>
          </w:p>
        </w:tc>
        <w:tc>
          <w:tcPr>
            <w:tcW w:w="844" w:type="dxa"/>
          </w:tcPr>
          <w:p w:rsidR="00E66558" w:rsidRDefault="009D71E8" w14:paraId="2A7D5518" w14:textId="77777777">
            <w:pPr>
              <w:pStyle w:val="TableHeader"/>
              <w:jc w:val="left"/>
              <w:cnfStyle w:val="100000000000" w:firstRow="1" w:lastRow="0" w:firstColumn="0" w:lastColumn="0" w:oddVBand="0" w:evenVBand="0" w:oddHBand="0" w:evenHBand="0" w:firstRowFirstColumn="0" w:firstRowLastColumn="0" w:lastRowFirstColumn="0" w:lastRowLastColumn="0"/>
            </w:pPr>
            <w:r>
              <w:t>Challenge number(s) addressed</w:t>
            </w:r>
          </w:p>
        </w:tc>
      </w:tr>
      <w:tr w:rsidR="00E47887" w:rsidTr="00D06495" w14:paraId="357A68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Pr="00D06495" w:rsidR="00E47887" w:rsidRDefault="00E47887" w14:paraId="73F0C879" w14:textId="76E9277D">
            <w:pPr>
              <w:pStyle w:val="TableRow"/>
              <w:rPr>
                <w:b w:val="0"/>
                <w:bCs w:val="0"/>
                <w:i/>
                <w:iCs/>
                <w:sz w:val="22"/>
                <w:szCs w:val="22"/>
              </w:rPr>
            </w:pPr>
            <w:r w:rsidRPr="00D06495">
              <w:rPr>
                <w:b w:val="0"/>
                <w:bCs w:val="0"/>
                <w:i/>
                <w:iCs/>
                <w:sz w:val="22"/>
                <w:szCs w:val="22"/>
              </w:rPr>
              <w:t>Regular use of the ‘Lyfta’ resource is achieved within school through:</w:t>
            </w:r>
          </w:p>
          <w:p w:rsidRPr="00D06495" w:rsidR="00E47887" w:rsidRDefault="00E47887" w14:paraId="5F641175" w14:textId="77777777">
            <w:pPr>
              <w:pStyle w:val="TableRow"/>
              <w:rPr>
                <w:b w:val="0"/>
                <w:bCs w:val="0"/>
                <w:sz w:val="22"/>
                <w:szCs w:val="22"/>
              </w:rPr>
            </w:pPr>
            <w:r w:rsidRPr="00D06495">
              <w:rPr>
                <w:b w:val="0"/>
                <w:bCs w:val="0"/>
                <w:sz w:val="22"/>
                <w:szCs w:val="22"/>
              </w:rPr>
              <w:t>-planning Lyfta into school assembly plans</w:t>
            </w:r>
          </w:p>
          <w:p w:rsidRPr="00D06495" w:rsidR="00E47887" w:rsidRDefault="00E47887" w14:paraId="0AC92CC0" w14:textId="77777777">
            <w:pPr>
              <w:pStyle w:val="TableRow"/>
              <w:rPr>
                <w:b w:val="0"/>
                <w:bCs w:val="0"/>
                <w:sz w:val="22"/>
                <w:szCs w:val="22"/>
              </w:rPr>
            </w:pPr>
            <w:r w:rsidRPr="00D06495">
              <w:rPr>
                <w:b w:val="0"/>
                <w:bCs w:val="0"/>
                <w:sz w:val="22"/>
                <w:szCs w:val="22"/>
              </w:rPr>
              <w:t>-introducing ‘Lyfta time’ to enable classes to ‘explore’ on a regular basis</w:t>
            </w:r>
          </w:p>
          <w:p w:rsidRPr="00D06495" w:rsidR="00E47887" w:rsidP="00E47887" w:rsidRDefault="00E47887" w14:paraId="5C048889" w14:textId="51656382">
            <w:pPr>
              <w:pStyle w:val="TableRow"/>
              <w:rPr>
                <w:b w:val="0"/>
                <w:bCs w:val="0"/>
                <w:sz w:val="22"/>
                <w:szCs w:val="22"/>
              </w:rPr>
            </w:pPr>
            <w:r w:rsidRPr="00D06495">
              <w:rPr>
                <w:b w:val="0"/>
                <w:bCs w:val="0"/>
                <w:sz w:val="22"/>
                <w:szCs w:val="22"/>
              </w:rPr>
              <w:t>-articles being utilised to support non-fiction reading lessons (as appropriate)</w:t>
            </w:r>
          </w:p>
        </w:tc>
        <w:tc>
          <w:tcPr>
            <w:tcW w:w="4678" w:type="dxa"/>
          </w:tcPr>
          <w:p w:rsidR="00E47887" w:rsidP="5E6026F3" w:rsidRDefault="00EA5FD8" w14:paraId="34F6C411" w14:textId="44FEE2B6">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sidRPr="5E6026F3">
              <w:rPr>
                <w:sz w:val="22"/>
                <w:szCs w:val="22"/>
              </w:rPr>
              <w:t xml:space="preserve">hundrED </w:t>
            </w:r>
            <w:r w:rsidRPr="5E6026F3" w:rsidR="00D6238D">
              <w:rPr>
                <w:sz w:val="22"/>
                <w:szCs w:val="22"/>
              </w:rPr>
              <w:t>recommended resource “helps teachers to nurture empathy, active citizenship and 21</w:t>
            </w:r>
            <w:r w:rsidRPr="5E6026F3" w:rsidR="00D6238D">
              <w:rPr>
                <w:sz w:val="22"/>
                <w:szCs w:val="22"/>
                <w:vertAlign w:val="superscript"/>
              </w:rPr>
              <w:t>st</w:t>
            </w:r>
            <w:r w:rsidRPr="5E6026F3" w:rsidR="00D6238D">
              <w:rPr>
                <w:sz w:val="22"/>
                <w:szCs w:val="22"/>
              </w:rPr>
              <w:t xml:space="preserve"> Century skill</w:t>
            </w:r>
            <w:r w:rsidRPr="5E6026F3" w:rsidR="442B6B56">
              <w:rPr>
                <w:sz w:val="22"/>
                <w:szCs w:val="22"/>
              </w:rPr>
              <w:t>s</w:t>
            </w:r>
            <w:r w:rsidRPr="5E6026F3" w:rsidR="00D6238D">
              <w:rPr>
                <w:sz w:val="22"/>
                <w:szCs w:val="22"/>
              </w:rPr>
              <w:t>.”</w:t>
            </w:r>
          </w:p>
        </w:tc>
        <w:tc>
          <w:tcPr>
            <w:tcW w:w="844" w:type="dxa"/>
          </w:tcPr>
          <w:p w:rsidR="00E47887" w:rsidRDefault="00EA5FD8" w14:paraId="79CC80E9" w14:textId="78D38B03">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E66558" w:rsidTr="00D06495" w14:paraId="2A7D5521" w14:textId="77777777">
        <w:tc>
          <w:tcPr>
            <w:cnfStyle w:val="001000000000" w:firstRow="0" w:lastRow="0" w:firstColumn="1" w:lastColumn="0" w:oddVBand="0" w:evenVBand="0" w:oddHBand="0" w:evenHBand="0" w:firstRowFirstColumn="0" w:firstRowLastColumn="0" w:lastRowFirstColumn="0" w:lastRowLastColumn="0"/>
            <w:tcW w:w="3964" w:type="dxa"/>
          </w:tcPr>
          <w:p w:rsidRPr="00D06495" w:rsidR="00E66558" w:rsidP="005D13C1" w:rsidRDefault="00E47887" w14:paraId="2A7D551E" w14:textId="6C7F8894">
            <w:pPr>
              <w:pStyle w:val="TableRow"/>
              <w:ind w:left="0"/>
              <w:rPr>
                <w:b w:val="0"/>
                <w:bCs w:val="0"/>
                <w:iCs/>
                <w:sz w:val="22"/>
                <w:szCs w:val="22"/>
              </w:rPr>
            </w:pPr>
            <w:r w:rsidRPr="00D06495">
              <w:rPr>
                <w:b w:val="0"/>
                <w:bCs w:val="0"/>
                <w:iCs/>
                <w:sz w:val="22"/>
                <w:szCs w:val="22"/>
              </w:rPr>
              <w:t>Through the Trust RE network group, Lyfta resources will be mapped against the curriculum</w:t>
            </w:r>
          </w:p>
        </w:tc>
        <w:tc>
          <w:tcPr>
            <w:tcW w:w="4678" w:type="dxa"/>
          </w:tcPr>
          <w:p w:rsidR="00E66558" w:rsidRDefault="00EA5FD8" w14:paraId="2A7D551F" w14:textId="76ECE329">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Teacher Toolkit recommended resource to develop cultural capital and enrichment, providing valuable and cost-effective experiences. </w:t>
            </w:r>
          </w:p>
        </w:tc>
        <w:tc>
          <w:tcPr>
            <w:tcW w:w="844" w:type="dxa"/>
          </w:tcPr>
          <w:p w:rsidR="00E66558" w:rsidRDefault="00EA5FD8" w14:paraId="2A7D5520" w14:textId="6688DA50">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1</w:t>
            </w:r>
          </w:p>
        </w:tc>
      </w:tr>
      <w:tr w:rsidR="00E47887" w:rsidTr="00D06495" w14:paraId="50404D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Pr="00D06495" w:rsidR="00E47887" w:rsidP="005D13C1" w:rsidRDefault="005D13C1" w14:paraId="129A9026" w14:textId="454B7C08">
            <w:pPr>
              <w:pStyle w:val="TableRow"/>
              <w:ind w:left="0"/>
              <w:rPr>
                <w:b w:val="0"/>
                <w:bCs w:val="0"/>
                <w:iCs/>
                <w:sz w:val="22"/>
                <w:szCs w:val="22"/>
              </w:rPr>
            </w:pPr>
            <w:r w:rsidRPr="00D06495">
              <w:rPr>
                <w:b w:val="0"/>
                <w:bCs w:val="0"/>
                <w:iCs/>
                <w:sz w:val="22"/>
                <w:szCs w:val="22"/>
              </w:rPr>
              <w:t>Short writing activities based on a Lyfta stimulus will take place as part of a Trust wide competition (500 words)</w:t>
            </w:r>
          </w:p>
        </w:tc>
        <w:tc>
          <w:tcPr>
            <w:tcW w:w="4678" w:type="dxa"/>
          </w:tcPr>
          <w:p w:rsidR="00E47887" w:rsidRDefault="00EA5FD8" w14:paraId="4E98CB9C" w14:textId="34B4D83F">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EEF Improving Literacy studies (giving pupils a reason to write). </w:t>
            </w:r>
          </w:p>
        </w:tc>
        <w:tc>
          <w:tcPr>
            <w:tcW w:w="844" w:type="dxa"/>
          </w:tcPr>
          <w:p w:rsidR="00E47887" w:rsidRDefault="00EA5FD8" w14:paraId="56C7F64A" w14:textId="2B2C2261">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E4500F" w:rsidTr="00D06495" w14:paraId="3E6D4A02" w14:textId="77777777">
        <w:tc>
          <w:tcPr>
            <w:cnfStyle w:val="001000000000" w:firstRow="0" w:lastRow="0" w:firstColumn="1" w:lastColumn="0" w:oddVBand="0" w:evenVBand="0" w:oddHBand="0" w:evenHBand="0" w:firstRowFirstColumn="0" w:firstRowLastColumn="0" w:lastRowFirstColumn="0" w:lastRowLastColumn="0"/>
            <w:tcW w:w="3964" w:type="dxa"/>
          </w:tcPr>
          <w:p w:rsidRPr="00D06495" w:rsidR="00E4500F" w:rsidP="005D13C1" w:rsidRDefault="00E4500F" w14:paraId="5ECC1473" w14:textId="215307A0">
            <w:pPr>
              <w:pStyle w:val="TableRow"/>
              <w:ind w:left="0"/>
              <w:rPr>
                <w:b w:val="0"/>
                <w:bCs w:val="0"/>
                <w:iCs/>
                <w:sz w:val="22"/>
                <w:szCs w:val="22"/>
              </w:rPr>
            </w:pPr>
            <w:r w:rsidRPr="00D06495">
              <w:rPr>
                <w:b w:val="0"/>
                <w:bCs w:val="0"/>
                <w:iCs/>
                <w:sz w:val="22"/>
                <w:szCs w:val="22"/>
              </w:rPr>
              <w:t xml:space="preserve">CPD for teachers and TAs to support quality first teaching in relation to oracy. </w:t>
            </w:r>
          </w:p>
        </w:tc>
        <w:tc>
          <w:tcPr>
            <w:tcW w:w="4678" w:type="dxa"/>
          </w:tcPr>
          <w:p w:rsidR="00E4500F" w:rsidRDefault="00E4500F" w14:paraId="3AB192C8" w14:textId="77777777">
            <w:pPr>
              <w:pStyle w:val="TableRowCentered"/>
              <w:jc w:val="left"/>
              <w:cnfStyle w:val="000000000000" w:firstRow="0" w:lastRow="0" w:firstColumn="0" w:lastColumn="0" w:oddVBand="0" w:evenVBand="0" w:oddHBand="0" w:evenHBand="0" w:firstRowFirstColumn="0" w:firstRowLastColumn="0" w:lastRowFirstColumn="0" w:lastRowLastColumn="0"/>
              <w:rPr>
                <w:i/>
                <w:iCs/>
                <w:sz w:val="22"/>
              </w:rPr>
            </w:pPr>
            <w:r>
              <w:rPr>
                <w:i/>
                <w:iCs/>
                <w:sz w:val="22"/>
              </w:rPr>
              <w:t>“</w:t>
            </w:r>
            <w:r w:rsidRPr="00E4500F">
              <w:rPr>
                <w:i/>
                <w:iCs/>
                <w:sz w:val="22"/>
              </w:rPr>
              <w:t>Professional development can support whole school approaches to close the word gap for disadvantaged pupils.</w:t>
            </w:r>
            <w:r>
              <w:rPr>
                <w:i/>
                <w:iCs/>
                <w:sz w:val="22"/>
              </w:rPr>
              <w:t>”</w:t>
            </w:r>
          </w:p>
          <w:p w:rsidRPr="00E4500F" w:rsidR="00E4500F" w:rsidRDefault="00E4500F" w14:paraId="56397916" w14:textId="5F367213">
            <w:pPr>
              <w:pStyle w:val="TableRowCentered"/>
              <w:jc w:val="left"/>
              <w:cnfStyle w:val="000000000000" w:firstRow="0" w:lastRow="0" w:firstColumn="0" w:lastColumn="0" w:oddVBand="0" w:evenVBand="0" w:oddHBand="0" w:evenHBand="0" w:firstRowFirstColumn="0" w:firstRowLastColumn="0" w:lastRowFirstColumn="0" w:lastRowLastColumn="0"/>
              <w:rPr>
                <w:sz w:val="18"/>
                <w:szCs w:val="18"/>
              </w:rPr>
            </w:pPr>
            <w:r w:rsidRPr="00E4500F">
              <w:rPr>
                <w:sz w:val="18"/>
                <w:szCs w:val="18"/>
              </w:rPr>
              <w:t>ROYAL COLLEGE OF SPEECH &amp; LANGUAGE THERAPISTS</w:t>
            </w:r>
          </w:p>
        </w:tc>
        <w:tc>
          <w:tcPr>
            <w:tcW w:w="844" w:type="dxa"/>
          </w:tcPr>
          <w:p w:rsidR="00E4500F" w:rsidRDefault="00E4500F" w14:paraId="75E71DC0" w14:textId="5759B5D7">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2</w:t>
            </w:r>
          </w:p>
        </w:tc>
      </w:tr>
      <w:tr w:rsidR="000D6423" w:rsidTr="00D06495" w14:paraId="5A380A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Pr="00D06495" w:rsidR="000D6423" w:rsidP="005D13C1" w:rsidRDefault="000D6423" w14:paraId="41F15DBE" w14:textId="7354730A">
            <w:pPr>
              <w:pStyle w:val="TableRow"/>
              <w:ind w:left="0"/>
              <w:rPr>
                <w:b w:val="0"/>
                <w:bCs w:val="0"/>
                <w:iCs/>
                <w:sz w:val="22"/>
                <w:szCs w:val="22"/>
              </w:rPr>
            </w:pPr>
            <w:r w:rsidRPr="00D06495">
              <w:rPr>
                <w:b w:val="0"/>
                <w:bCs w:val="0"/>
                <w:iCs/>
                <w:sz w:val="22"/>
                <w:szCs w:val="22"/>
              </w:rPr>
              <w:t>CPD for teachers and TAs to support quality adaptive teaching and delivery of interventions</w:t>
            </w:r>
            <w:r w:rsidRPr="00D06495" w:rsidR="00444BE7">
              <w:rPr>
                <w:b w:val="0"/>
                <w:bCs w:val="0"/>
                <w:iCs/>
                <w:sz w:val="22"/>
                <w:szCs w:val="22"/>
              </w:rPr>
              <w:t xml:space="preserve"> for speech and language needs.</w:t>
            </w:r>
          </w:p>
        </w:tc>
        <w:tc>
          <w:tcPr>
            <w:tcW w:w="4678" w:type="dxa"/>
          </w:tcPr>
          <w:p w:rsidR="000D6423" w:rsidRDefault="00444BE7" w14:paraId="63A62959" w14:textId="2FF9EA89">
            <w:pPr>
              <w:pStyle w:val="TableRowCentered"/>
              <w:jc w:val="left"/>
              <w:cnfStyle w:val="000000100000" w:firstRow="0" w:lastRow="0" w:firstColumn="0" w:lastColumn="0" w:oddVBand="0" w:evenVBand="0" w:oddHBand="1" w:evenHBand="0" w:firstRowFirstColumn="0" w:firstRowLastColumn="0" w:lastRowFirstColumn="0" w:lastRowLastColumn="0"/>
              <w:rPr>
                <w:i/>
                <w:iCs/>
                <w:sz w:val="22"/>
              </w:rPr>
            </w:pPr>
            <w:r>
              <w:rPr>
                <w:i/>
                <w:iCs/>
                <w:sz w:val="22"/>
              </w:rPr>
              <w:t>“</w:t>
            </w:r>
            <w:r w:rsidRPr="00444BE7">
              <w:rPr>
                <w:i/>
                <w:iCs/>
                <w:sz w:val="22"/>
              </w:rPr>
              <w:t>Professional development in speech, language and communication</w:t>
            </w:r>
            <w:r>
              <w:rPr>
                <w:i/>
                <w:iCs/>
                <w:sz w:val="22"/>
              </w:rPr>
              <w:t xml:space="preserve">”, </w:t>
            </w:r>
            <w:r w:rsidRPr="00444BE7">
              <w:rPr>
                <w:sz w:val="22"/>
              </w:rPr>
              <w:t>publication from The Communication Trust</w:t>
            </w:r>
          </w:p>
        </w:tc>
        <w:tc>
          <w:tcPr>
            <w:tcW w:w="844" w:type="dxa"/>
          </w:tcPr>
          <w:p w:rsidR="000D6423" w:rsidRDefault="00444BE7" w14:paraId="788D27AD" w14:textId="196AF396">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Pr>
                <w:sz w:val="22"/>
              </w:rPr>
              <w:t>3</w:t>
            </w:r>
          </w:p>
        </w:tc>
      </w:tr>
      <w:tr w:rsidR="27BA64AD" w:rsidTr="00D06495" w14:paraId="542F662C" w14:textId="77777777">
        <w:trPr>
          <w:trHeight w:val="300"/>
        </w:trPr>
        <w:tc>
          <w:tcPr>
            <w:cnfStyle w:val="001000000000" w:firstRow="0" w:lastRow="0" w:firstColumn="1" w:lastColumn="0" w:oddVBand="0" w:evenVBand="0" w:oddHBand="0" w:evenHBand="0" w:firstRowFirstColumn="0" w:firstRowLastColumn="0" w:lastRowFirstColumn="0" w:lastRowLastColumn="0"/>
            <w:tcW w:w="3964" w:type="dxa"/>
          </w:tcPr>
          <w:p w:rsidRPr="00D06495" w:rsidR="27BA64AD" w:rsidP="27BA64AD" w:rsidRDefault="7DF292DB" w14:paraId="5F16A695" w14:textId="207BB8F3">
            <w:pPr>
              <w:pStyle w:val="TableRow"/>
              <w:rPr>
                <w:b w:val="0"/>
                <w:bCs w:val="0"/>
                <w:sz w:val="22"/>
                <w:szCs w:val="22"/>
              </w:rPr>
            </w:pPr>
            <w:r w:rsidRPr="00D06495">
              <w:rPr>
                <w:b w:val="0"/>
                <w:bCs w:val="0"/>
                <w:sz w:val="22"/>
                <w:szCs w:val="22"/>
              </w:rPr>
              <w:t>CPD for teachers and TAs to s</w:t>
            </w:r>
            <w:r w:rsidRPr="00D06495" w:rsidR="53769800">
              <w:rPr>
                <w:b w:val="0"/>
                <w:bCs w:val="0"/>
                <w:sz w:val="22"/>
                <w:szCs w:val="22"/>
              </w:rPr>
              <w:t xml:space="preserve">upport quality first teaching in relation </w:t>
            </w:r>
            <w:r w:rsidRPr="00D06495" w:rsidR="35116BC5">
              <w:rPr>
                <w:b w:val="0"/>
                <w:bCs w:val="0"/>
                <w:sz w:val="22"/>
                <w:szCs w:val="22"/>
              </w:rPr>
              <w:t>to developing and promoting self-efficacy</w:t>
            </w:r>
            <w:r w:rsidRPr="00D06495" w:rsidR="4F8F657E">
              <w:rPr>
                <w:b w:val="0"/>
                <w:bCs w:val="0"/>
                <w:sz w:val="22"/>
                <w:szCs w:val="22"/>
              </w:rPr>
              <w:t xml:space="preserve">: </w:t>
            </w:r>
            <w:r w:rsidRPr="00D06495" w:rsidR="41F4E198">
              <w:rPr>
                <w:b w:val="0"/>
                <w:bCs w:val="0"/>
                <w:sz w:val="22"/>
                <w:szCs w:val="22"/>
              </w:rPr>
              <w:t>praising for effort and use of strategies; finding pivo</w:t>
            </w:r>
            <w:r w:rsidRPr="00D06495" w:rsidR="05EB0291">
              <w:rPr>
                <w:b w:val="0"/>
                <w:bCs w:val="0"/>
                <w:sz w:val="22"/>
                <w:szCs w:val="22"/>
              </w:rPr>
              <w:t>tal moments; reco</w:t>
            </w:r>
            <w:r w:rsidRPr="00D06495" w:rsidR="0E6F65DA">
              <w:rPr>
                <w:b w:val="0"/>
                <w:bCs w:val="0"/>
                <w:sz w:val="22"/>
                <w:szCs w:val="22"/>
              </w:rPr>
              <w:t>gnising the importance of challenge; creating opportunities for roles of responsibility</w:t>
            </w:r>
            <w:r w:rsidRPr="00D06495" w:rsidR="2B4C3F56">
              <w:rPr>
                <w:b w:val="0"/>
                <w:bCs w:val="0"/>
                <w:sz w:val="22"/>
                <w:szCs w:val="22"/>
              </w:rPr>
              <w:t>.</w:t>
            </w:r>
            <w:r w:rsidRPr="00D06495" w:rsidR="05EB0291">
              <w:rPr>
                <w:b w:val="0"/>
                <w:bCs w:val="0"/>
                <w:sz w:val="22"/>
                <w:szCs w:val="22"/>
              </w:rPr>
              <w:t xml:space="preserve"> </w:t>
            </w:r>
            <w:r w:rsidRPr="00D06495" w:rsidR="21F5B8E4">
              <w:rPr>
                <w:b w:val="0"/>
                <w:bCs w:val="0"/>
                <w:sz w:val="22"/>
                <w:szCs w:val="22"/>
              </w:rPr>
              <w:t xml:space="preserve"> </w:t>
            </w:r>
          </w:p>
        </w:tc>
        <w:tc>
          <w:tcPr>
            <w:tcW w:w="4678" w:type="dxa"/>
          </w:tcPr>
          <w:p w:rsidR="27BA64AD" w:rsidP="5D3B3201" w:rsidRDefault="13F75FA1" w14:paraId="77789420" w14:textId="6B99BDC5">
            <w:pPr>
              <w:pStyle w:val="TableRowCentered"/>
              <w:jc w:val="left"/>
              <w:cnfStyle w:val="000000000000" w:firstRow="0" w:lastRow="0" w:firstColumn="0" w:lastColumn="0" w:oddVBand="0" w:evenVBand="0" w:oddHBand="0" w:evenHBand="0" w:firstRowFirstColumn="0" w:firstRowLastColumn="0" w:lastRowFirstColumn="0" w:lastRowLastColumn="0"/>
              <w:rPr>
                <w:i/>
                <w:iCs/>
                <w:sz w:val="22"/>
                <w:szCs w:val="22"/>
              </w:rPr>
            </w:pPr>
            <w:r w:rsidRPr="5D3B3201">
              <w:rPr>
                <w:i/>
                <w:iCs/>
                <w:sz w:val="22"/>
                <w:szCs w:val="22"/>
              </w:rPr>
              <w:t>Gutman and Schoon (2013) “Non-cogni</w:t>
            </w:r>
            <w:r w:rsidRPr="5D3B3201" w:rsidR="020C1F9F">
              <w:rPr>
                <w:i/>
                <w:iCs/>
                <w:sz w:val="22"/>
                <w:szCs w:val="22"/>
              </w:rPr>
              <w:t xml:space="preserve">tive skills are vital for educational success. </w:t>
            </w:r>
          </w:p>
          <w:p w:rsidR="27BA64AD" w:rsidP="5D3B3201" w:rsidRDefault="020C1F9F" w14:paraId="52E2F018" w14:textId="4523832E">
            <w:pPr>
              <w:pStyle w:val="TableRowCentered"/>
              <w:jc w:val="left"/>
              <w:cnfStyle w:val="000000000000" w:firstRow="0" w:lastRow="0" w:firstColumn="0" w:lastColumn="0" w:oddVBand="0" w:evenVBand="0" w:oddHBand="0" w:evenHBand="0" w:firstRowFirstColumn="0" w:firstRowLastColumn="0" w:lastRowFirstColumn="0" w:lastRowLastColumn="0"/>
              <w:rPr>
                <w:i/>
                <w:iCs/>
                <w:sz w:val="22"/>
                <w:szCs w:val="22"/>
              </w:rPr>
            </w:pPr>
            <w:r w:rsidRPr="5D3B3201">
              <w:rPr>
                <w:i/>
                <w:iCs/>
                <w:sz w:val="22"/>
                <w:szCs w:val="22"/>
              </w:rPr>
              <w:t>Schunk (1981): Self-efficacy as a predicator of academic performance</w:t>
            </w:r>
          </w:p>
          <w:p w:rsidR="27BA64AD" w:rsidP="5D3B3201" w:rsidRDefault="020C1F9F" w14:paraId="63ECC8C7" w14:textId="1090DA04">
            <w:pPr>
              <w:pStyle w:val="TableRowCentered"/>
              <w:jc w:val="left"/>
              <w:cnfStyle w:val="000000000000" w:firstRow="0" w:lastRow="0" w:firstColumn="0" w:lastColumn="0" w:oddVBand="0" w:evenVBand="0" w:oddHBand="0" w:evenHBand="0" w:firstRowFirstColumn="0" w:firstRowLastColumn="0" w:lastRowFirstColumn="0" w:lastRowLastColumn="0"/>
              <w:rPr>
                <w:i/>
                <w:iCs/>
                <w:sz w:val="22"/>
                <w:szCs w:val="22"/>
              </w:rPr>
            </w:pPr>
            <w:r w:rsidRPr="5D3B3201">
              <w:rPr>
                <w:i/>
                <w:iCs/>
                <w:sz w:val="22"/>
                <w:szCs w:val="22"/>
              </w:rPr>
              <w:t xml:space="preserve">Betthaeuser et al. (2020): Impact on academic outcomes, mental health </w:t>
            </w:r>
            <w:r w:rsidRPr="5D3B3201" w:rsidR="1E1271DA">
              <w:rPr>
                <w:i/>
                <w:iCs/>
                <w:sz w:val="22"/>
                <w:szCs w:val="22"/>
              </w:rPr>
              <w:t xml:space="preserve">and social factors. </w:t>
            </w:r>
          </w:p>
        </w:tc>
        <w:tc>
          <w:tcPr>
            <w:tcW w:w="844" w:type="dxa"/>
          </w:tcPr>
          <w:p w:rsidR="27BA64AD" w:rsidP="27BA64AD" w:rsidRDefault="002B44CA" w14:paraId="15E40981" w14:textId="0C4EE9EF">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w:t>
            </w:r>
          </w:p>
        </w:tc>
      </w:tr>
      <w:tr w:rsidR="27BA64AD" w:rsidTr="00D06495" w14:paraId="09001D9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rsidRPr="00D06495" w:rsidR="27BA64AD" w:rsidP="27BA64AD" w:rsidRDefault="003C7402" w14:paraId="6E7B2908" w14:textId="18F7E046">
            <w:pPr>
              <w:pStyle w:val="TableRow"/>
              <w:rPr>
                <w:b w:val="0"/>
                <w:bCs w:val="0"/>
                <w:sz w:val="22"/>
                <w:szCs w:val="22"/>
              </w:rPr>
            </w:pPr>
            <w:r w:rsidRPr="00D06495">
              <w:rPr>
                <w:b w:val="0"/>
                <w:bCs w:val="0"/>
                <w:sz w:val="22"/>
                <w:szCs w:val="22"/>
              </w:rPr>
              <w:t>CPPD for teachers and TAs i</w:t>
            </w:r>
            <w:r w:rsidR="00212FF1">
              <w:rPr>
                <w:b w:val="0"/>
                <w:bCs w:val="0"/>
                <w:sz w:val="22"/>
                <w:szCs w:val="22"/>
              </w:rPr>
              <w:t>n</w:t>
            </w:r>
            <w:r w:rsidRPr="00D06495">
              <w:rPr>
                <w:b w:val="0"/>
                <w:bCs w:val="0"/>
                <w:sz w:val="22"/>
                <w:szCs w:val="22"/>
              </w:rPr>
              <w:t xml:space="preserve"> planning and delivering engaging, high</w:t>
            </w:r>
            <w:r w:rsidRPr="00D06495" w:rsidR="003A68F9">
              <w:rPr>
                <w:b w:val="0"/>
                <w:bCs w:val="0"/>
                <w:sz w:val="22"/>
                <w:szCs w:val="22"/>
              </w:rPr>
              <w:t>-</w:t>
            </w:r>
            <w:r w:rsidRPr="00D06495">
              <w:rPr>
                <w:b w:val="0"/>
                <w:bCs w:val="0"/>
                <w:sz w:val="22"/>
                <w:szCs w:val="22"/>
              </w:rPr>
              <w:t>quality</w:t>
            </w:r>
            <w:r w:rsidRPr="00D06495" w:rsidR="00E22F9F">
              <w:rPr>
                <w:b w:val="0"/>
                <w:bCs w:val="0"/>
                <w:sz w:val="22"/>
                <w:szCs w:val="22"/>
              </w:rPr>
              <w:t xml:space="preserve"> learning which excites children into coming to school </w:t>
            </w:r>
          </w:p>
        </w:tc>
        <w:tc>
          <w:tcPr>
            <w:tcW w:w="4678" w:type="dxa"/>
          </w:tcPr>
          <w:p w:rsidRPr="005D5BB4" w:rsidR="27BA64AD" w:rsidP="00167C1D" w:rsidRDefault="00167C1D" w14:paraId="09F35EE1" w14:textId="3A1ADBA9">
            <w:pPr>
              <w:pStyle w:val="TableRowCentered"/>
              <w:ind w:left="0"/>
              <w:jc w:val="left"/>
              <w:cnfStyle w:val="000000100000" w:firstRow="0" w:lastRow="0" w:firstColumn="0" w:lastColumn="0" w:oddVBand="0" w:evenVBand="0" w:oddHBand="1" w:evenHBand="0" w:firstRowFirstColumn="0" w:firstRowLastColumn="0" w:lastRowFirstColumn="0" w:lastRowLastColumn="0"/>
              <w:rPr>
                <w:sz w:val="22"/>
                <w:szCs w:val="22"/>
              </w:rPr>
            </w:pPr>
            <w:r w:rsidRPr="005D5BB4">
              <w:rPr>
                <w:sz w:val="22"/>
                <w:szCs w:val="22"/>
              </w:rPr>
              <w:t xml:space="preserve">DFE </w:t>
            </w:r>
            <w:r w:rsidRPr="005D5BB4" w:rsidR="005D5BB4">
              <w:rPr>
                <w:sz w:val="22"/>
                <w:szCs w:val="22"/>
              </w:rPr>
              <w:t>Improving School Attendance (2022)</w:t>
            </w:r>
          </w:p>
          <w:p w:rsidR="005D5BB4" w:rsidP="005D5BB4" w:rsidRDefault="005D5BB4" w14:paraId="66C70CDA" w14:textId="57067602">
            <w:pPr>
              <w:pStyle w:val="TableRowCentered"/>
              <w:numPr>
                <w:ilvl w:val="0"/>
                <w:numId w:val="15"/>
              </w:numPr>
              <w:jc w:val="left"/>
              <w:cnfStyle w:val="000000100000" w:firstRow="0" w:lastRow="0" w:firstColumn="0" w:lastColumn="0" w:oddVBand="0" w:evenVBand="0" w:oddHBand="1" w:evenHBand="0" w:firstRowFirstColumn="0" w:firstRowLastColumn="0" w:lastRowFirstColumn="0" w:lastRowLastColumn="0"/>
              <w:rPr>
                <w:i/>
                <w:iCs/>
                <w:sz w:val="22"/>
                <w:szCs w:val="22"/>
              </w:rPr>
            </w:pPr>
            <w:r w:rsidRPr="005D5BB4">
              <w:rPr>
                <w:i/>
                <w:iCs/>
                <w:sz w:val="22"/>
                <w:szCs w:val="22"/>
              </w:rPr>
              <w:t>promote the next lesson and th</w:t>
            </w:r>
            <w:r>
              <w:rPr>
                <w:i/>
                <w:iCs/>
                <w:sz w:val="22"/>
                <w:szCs w:val="22"/>
              </w:rPr>
              <w:t xml:space="preserve">e </w:t>
            </w:r>
            <w:r w:rsidRPr="005D5BB4">
              <w:rPr>
                <w:i/>
                <w:iCs/>
                <w:sz w:val="22"/>
                <w:szCs w:val="22"/>
              </w:rPr>
              <w:t>sequence of the lesson to motivate pupils to be in the classroom</w:t>
            </w:r>
          </w:p>
          <w:p w:rsidR="003A7025" w:rsidP="003A7025" w:rsidRDefault="00782E10" w14:paraId="679044C8" w14:textId="09503C42">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EEF Closing the attainment gap</w:t>
            </w:r>
            <w:r w:rsidR="005F028A">
              <w:rPr>
                <w:sz w:val="22"/>
                <w:szCs w:val="22"/>
              </w:rPr>
              <w:t xml:space="preserve"> (2018)</w:t>
            </w:r>
          </w:p>
          <w:p w:rsidRPr="005D5BB4" w:rsidR="00782E10" w:rsidP="003A7025" w:rsidRDefault="005F028A" w14:paraId="5E5B9CDB" w14:textId="02969332">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sidRPr="005F028A">
              <w:rPr>
                <w:sz w:val="22"/>
                <w:szCs w:val="22"/>
              </w:rPr>
              <w:t>– the quality of teaching in formal education – holds huge potential in reducing, and in some cases even eliminating, the attainment gap</w:t>
            </w:r>
          </w:p>
          <w:p w:rsidR="005D5BB4" w:rsidP="00167C1D" w:rsidRDefault="005D5BB4" w14:paraId="36AC445A" w14:textId="59F06A9C">
            <w:pPr>
              <w:pStyle w:val="TableRowCentered"/>
              <w:ind w:left="0"/>
              <w:jc w:val="left"/>
              <w:cnfStyle w:val="000000100000" w:firstRow="0" w:lastRow="0" w:firstColumn="0" w:lastColumn="0" w:oddVBand="0" w:evenVBand="0" w:oddHBand="1" w:evenHBand="0" w:firstRowFirstColumn="0" w:firstRowLastColumn="0" w:lastRowFirstColumn="0" w:lastRowLastColumn="0"/>
              <w:rPr>
                <w:i/>
                <w:iCs/>
                <w:sz w:val="22"/>
                <w:szCs w:val="22"/>
              </w:rPr>
            </w:pPr>
          </w:p>
        </w:tc>
        <w:tc>
          <w:tcPr>
            <w:tcW w:w="844" w:type="dxa"/>
          </w:tcPr>
          <w:p w:rsidR="27BA64AD" w:rsidP="27BA64AD" w:rsidRDefault="002B44CA" w14:paraId="0F315B4D" w14:textId="1B5313E4">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w:t>
            </w:r>
            <w:r w:rsidR="003A7025">
              <w:rPr>
                <w:sz w:val="22"/>
                <w:szCs w:val="22"/>
              </w:rPr>
              <w:t xml:space="preserve">/6 </w:t>
            </w:r>
          </w:p>
        </w:tc>
      </w:tr>
      <w:tr w:rsidR="003A68F9" w:rsidTr="00D06495" w14:paraId="0B21D23A" w14:textId="77777777">
        <w:trPr>
          <w:trHeight w:val="300"/>
        </w:trPr>
        <w:tc>
          <w:tcPr>
            <w:cnfStyle w:val="001000000000" w:firstRow="0" w:lastRow="0" w:firstColumn="1" w:lastColumn="0" w:oddVBand="0" w:evenVBand="0" w:oddHBand="0" w:evenHBand="0" w:firstRowFirstColumn="0" w:firstRowLastColumn="0" w:lastRowFirstColumn="0" w:lastRowLastColumn="0"/>
            <w:tcW w:w="3964" w:type="dxa"/>
          </w:tcPr>
          <w:p w:rsidRPr="00D06495" w:rsidR="003A68F9" w:rsidP="27BA64AD" w:rsidRDefault="003A68F9" w14:paraId="35A2A2F6" w14:textId="346E674E">
            <w:pPr>
              <w:pStyle w:val="TableRow"/>
              <w:rPr>
                <w:b w:val="0"/>
                <w:bCs w:val="0"/>
                <w:sz w:val="22"/>
                <w:szCs w:val="22"/>
              </w:rPr>
            </w:pPr>
            <w:r w:rsidRPr="00D06495">
              <w:rPr>
                <w:b w:val="0"/>
                <w:bCs w:val="0"/>
                <w:sz w:val="22"/>
                <w:szCs w:val="22"/>
              </w:rPr>
              <w:t xml:space="preserve">CPPD for teachers and TAs to ensure attendance is </w:t>
            </w:r>
            <w:r w:rsidRPr="00D06495" w:rsidR="00E705A7">
              <w:rPr>
                <w:b w:val="0"/>
                <w:bCs w:val="0"/>
                <w:sz w:val="22"/>
                <w:szCs w:val="22"/>
              </w:rPr>
              <w:t xml:space="preserve">monitored consistently </w:t>
            </w:r>
          </w:p>
        </w:tc>
        <w:tc>
          <w:tcPr>
            <w:tcW w:w="4678" w:type="dxa"/>
          </w:tcPr>
          <w:p w:rsidRPr="005D5BB4" w:rsidR="000D2126" w:rsidP="000D2126" w:rsidRDefault="000D2126" w14:paraId="1B76FD40" w14:textId="77777777">
            <w:pPr>
              <w:pStyle w:val="TableRowCentered"/>
              <w:ind w:left="0"/>
              <w:jc w:val="left"/>
              <w:cnfStyle w:val="000000000000" w:firstRow="0" w:lastRow="0" w:firstColumn="0" w:lastColumn="0" w:oddVBand="0" w:evenVBand="0" w:oddHBand="0" w:evenHBand="0" w:firstRowFirstColumn="0" w:firstRowLastColumn="0" w:lastRowFirstColumn="0" w:lastRowLastColumn="0"/>
              <w:rPr>
                <w:sz w:val="22"/>
                <w:szCs w:val="22"/>
              </w:rPr>
            </w:pPr>
            <w:r w:rsidRPr="005D5BB4">
              <w:rPr>
                <w:sz w:val="22"/>
                <w:szCs w:val="22"/>
              </w:rPr>
              <w:t>DFE Improving School Attendance (2022)</w:t>
            </w:r>
          </w:p>
          <w:p w:rsidR="000D2126" w:rsidP="00167C1D" w:rsidRDefault="000D2126" w14:paraId="7DFE2FA6" w14:textId="77777777">
            <w:pPr>
              <w:pStyle w:val="TableRowCentered"/>
              <w:ind w:left="0"/>
              <w:jc w:val="left"/>
              <w:cnfStyle w:val="000000000000" w:firstRow="0" w:lastRow="0" w:firstColumn="0" w:lastColumn="0" w:oddVBand="0" w:evenVBand="0" w:oddHBand="0" w:evenHBand="0" w:firstRowFirstColumn="0" w:firstRowLastColumn="0" w:lastRowFirstColumn="0" w:lastRowLastColumn="0"/>
              <w:rPr>
                <w:sz w:val="22"/>
                <w:szCs w:val="22"/>
              </w:rPr>
            </w:pPr>
          </w:p>
          <w:p w:rsidRPr="005D5BB4" w:rsidR="003A68F9" w:rsidP="00167C1D" w:rsidRDefault="000D2126" w14:paraId="3B529421" w14:textId="38039F2C">
            <w:pPr>
              <w:pStyle w:val="TableRowCentered"/>
              <w:ind w:left="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Every member of staff should know and understand their role in attendance monitoring </w:t>
            </w:r>
          </w:p>
        </w:tc>
        <w:tc>
          <w:tcPr>
            <w:tcW w:w="844" w:type="dxa"/>
          </w:tcPr>
          <w:p w:rsidR="003A68F9" w:rsidP="27BA64AD" w:rsidRDefault="00D06495" w14:paraId="6A098AE1" w14:textId="67753655">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w:t>
            </w:r>
          </w:p>
        </w:tc>
      </w:tr>
      <w:tr w:rsidR="000D2126" w:rsidTr="00D06495" w14:paraId="7F25A78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rsidRPr="00D06495" w:rsidR="000D2126" w:rsidP="27BA64AD" w:rsidRDefault="00D06495" w14:paraId="232E7435" w14:textId="4BB71979">
            <w:pPr>
              <w:pStyle w:val="TableRow"/>
              <w:rPr>
                <w:b w:val="0"/>
                <w:bCs w:val="0"/>
                <w:sz w:val="22"/>
                <w:szCs w:val="22"/>
              </w:rPr>
            </w:pPr>
            <w:r w:rsidRPr="00D06495">
              <w:rPr>
                <w:b w:val="0"/>
                <w:bCs w:val="0"/>
                <w:sz w:val="22"/>
                <w:szCs w:val="22"/>
              </w:rPr>
              <w:t xml:space="preserve">Attendance leads meticulously follow-up on non-attendance, working with </w:t>
            </w:r>
            <w:r w:rsidR="002B6D0C">
              <w:rPr>
                <w:b w:val="0"/>
                <w:bCs w:val="0"/>
                <w:sz w:val="22"/>
                <w:szCs w:val="22"/>
              </w:rPr>
              <w:t xml:space="preserve">families and </w:t>
            </w:r>
            <w:r w:rsidRPr="00D06495">
              <w:rPr>
                <w:b w:val="0"/>
                <w:bCs w:val="0"/>
                <w:sz w:val="22"/>
                <w:szCs w:val="22"/>
              </w:rPr>
              <w:t xml:space="preserve">wider multi-agency staff where appropriate. </w:t>
            </w:r>
          </w:p>
        </w:tc>
        <w:tc>
          <w:tcPr>
            <w:tcW w:w="4678" w:type="dxa"/>
          </w:tcPr>
          <w:p w:rsidRPr="005D5BB4" w:rsidR="000D2126" w:rsidP="000D2126" w:rsidRDefault="000D2126" w14:paraId="743C8D6E" w14:textId="77777777">
            <w:pPr>
              <w:pStyle w:val="TableRowCentered"/>
              <w:ind w:left="0"/>
              <w:jc w:val="left"/>
              <w:cnfStyle w:val="000000100000" w:firstRow="0" w:lastRow="0" w:firstColumn="0" w:lastColumn="0" w:oddVBand="0" w:evenVBand="0" w:oddHBand="1" w:evenHBand="0" w:firstRowFirstColumn="0" w:firstRowLastColumn="0" w:lastRowFirstColumn="0" w:lastRowLastColumn="0"/>
              <w:rPr>
                <w:sz w:val="22"/>
                <w:szCs w:val="22"/>
              </w:rPr>
            </w:pPr>
            <w:r w:rsidRPr="005D5BB4">
              <w:rPr>
                <w:sz w:val="22"/>
                <w:szCs w:val="22"/>
              </w:rPr>
              <w:t>DFE Improving School Attendance (2022)</w:t>
            </w:r>
          </w:p>
          <w:p w:rsidR="000D2126" w:rsidP="000D2126" w:rsidRDefault="000D2126" w14:paraId="2AA41814" w14:textId="77777777">
            <w:pPr>
              <w:pStyle w:val="TableRowCentered"/>
              <w:ind w:left="720"/>
              <w:jc w:val="left"/>
              <w:cnfStyle w:val="000000100000" w:firstRow="0" w:lastRow="0" w:firstColumn="0" w:lastColumn="0" w:oddVBand="0" w:evenVBand="0" w:oddHBand="1" w:evenHBand="0" w:firstRowFirstColumn="0" w:firstRowLastColumn="0" w:lastRowFirstColumn="0" w:lastRowLastColumn="0"/>
              <w:rPr>
                <w:sz w:val="22"/>
                <w:szCs w:val="22"/>
              </w:rPr>
            </w:pPr>
          </w:p>
          <w:p w:rsidRPr="000D2126" w:rsidR="000D2126" w:rsidP="000D2126" w:rsidRDefault="000D2126" w14:paraId="6CAAAF26" w14:textId="34EAB164">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sidRPr="000D2126">
              <w:rPr>
                <w:sz w:val="22"/>
                <w:szCs w:val="22"/>
              </w:rPr>
              <w:t>4. Robust school systems provide useful data at cohort, group and individual pupil level to give an accurate view of attendance, reasons for absence and patterns amongst groups such as:</w:t>
            </w:r>
          </w:p>
          <w:p w:rsidRPr="000D2126" w:rsidR="000D2126" w:rsidP="00D06495" w:rsidRDefault="000D2126" w14:paraId="143AA37F" w14:textId="77777777">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sidRPr="000D2126">
              <w:rPr>
                <w:sz w:val="22"/>
                <w:szCs w:val="22"/>
              </w:rPr>
              <w:t>5. Monitor and analyse attendance data regularly to allow early intervention to address issues. This includes raising concerns with other agencies like children’s social care and early help services which are working with families.</w:t>
            </w:r>
          </w:p>
          <w:p w:rsidR="000D2126" w:rsidP="00167C1D" w:rsidRDefault="000D2126" w14:paraId="482CDCBC" w14:textId="77777777">
            <w:pPr>
              <w:pStyle w:val="TableRowCentered"/>
              <w:ind w:left="0"/>
              <w:jc w:val="left"/>
              <w:cnfStyle w:val="000000100000" w:firstRow="0" w:lastRow="0" w:firstColumn="0" w:lastColumn="0" w:oddVBand="0" w:evenVBand="0" w:oddHBand="1" w:evenHBand="0" w:firstRowFirstColumn="0" w:firstRowLastColumn="0" w:lastRowFirstColumn="0" w:lastRowLastColumn="0"/>
              <w:rPr>
                <w:sz w:val="22"/>
                <w:szCs w:val="22"/>
              </w:rPr>
            </w:pPr>
          </w:p>
        </w:tc>
        <w:tc>
          <w:tcPr>
            <w:tcW w:w="844" w:type="dxa"/>
          </w:tcPr>
          <w:p w:rsidR="000D2126" w:rsidP="27BA64AD" w:rsidRDefault="00D06495" w14:paraId="7C1CFD12" w14:textId="16B25264">
            <w:pPr>
              <w:pStyle w:val="TableRowCentered"/>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w:t>
            </w:r>
          </w:p>
        </w:tc>
      </w:tr>
      <w:tr w:rsidR="00D06495" w:rsidTr="00D06495" w14:paraId="35E11122" w14:textId="77777777">
        <w:trPr>
          <w:trHeight w:val="300"/>
        </w:trPr>
        <w:tc>
          <w:tcPr>
            <w:cnfStyle w:val="001000000000" w:firstRow="0" w:lastRow="0" w:firstColumn="1" w:lastColumn="0" w:oddVBand="0" w:evenVBand="0" w:oddHBand="0" w:evenHBand="0" w:firstRowFirstColumn="0" w:firstRowLastColumn="0" w:lastRowFirstColumn="0" w:lastRowLastColumn="0"/>
            <w:tcW w:w="3964" w:type="dxa"/>
          </w:tcPr>
          <w:p w:rsidR="00D06495" w:rsidP="003A7025" w:rsidRDefault="00D06495" w14:paraId="23FA8525" w14:textId="61CD274E">
            <w:pPr>
              <w:pStyle w:val="TableRow"/>
              <w:ind w:left="0"/>
              <w:rPr>
                <w:sz w:val="22"/>
                <w:szCs w:val="22"/>
              </w:rPr>
            </w:pPr>
          </w:p>
        </w:tc>
        <w:tc>
          <w:tcPr>
            <w:tcW w:w="4678" w:type="dxa"/>
          </w:tcPr>
          <w:p w:rsidRPr="005D5BB4" w:rsidR="00D06495" w:rsidP="000D2126" w:rsidRDefault="00D06495" w14:paraId="5CD2A605" w14:textId="77777777">
            <w:pPr>
              <w:pStyle w:val="TableRowCentered"/>
              <w:ind w:left="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844" w:type="dxa"/>
          </w:tcPr>
          <w:p w:rsidR="00D06495" w:rsidP="27BA64AD" w:rsidRDefault="00D06495" w14:paraId="1837F5E5"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szCs w:val="22"/>
              </w:rPr>
            </w:pPr>
          </w:p>
        </w:tc>
      </w:tr>
    </w:tbl>
    <w:p w:rsidR="00E66558" w:rsidP="00ED5108" w:rsidRDefault="00E66558" w14:paraId="2A7D5522" w14:textId="77777777"/>
    <w:p w:rsidRPr="00AA355B" w:rsidR="00E66558" w:rsidP="00AA355B" w:rsidRDefault="009D71E8" w14:paraId="2A7D5523" w14:textId="5B2BE35F">
      <w:pPr>
        <w:pStyle w:val="Heading3"/>
      </w:pPr>
      <w:r>
        <w:t xml:space="preserve">Targeted academic support (for example, </w:t>
      </w:r>
      <w:r w:rsidR="00D33FE5">
        <w:t>tutoring, one-to-one support</w:t>
      </w:r>
      <w:r w:rsidR="00F776E1">
        <w:t>,</w:t>
      </w:r>
      <w:r w:rsidR="00D33FE5">
        <w:t xml:space="preserve"> </w:t>
      </w:r>
      <w:r>
        <w:t xml:space="preserve">structured interventions) </w:t>
      </w:r>
    </w:p>
    <w:p w:rsidR="00E66558" w:rsidRDefault="009D71E8" w14:paraId="2A7D5524" w14:textId="070FD85E">
      <w:r>
        <w:t>Budgeted cost: £</w:t>
      </w:r>
      <w:r w:rsidR="00B50E18">
        <w:t>106301</w:t>
      </w:r>
    </w:p>
    <w:tbl>
      <w:tblPr>
        <w:tblStyle w:val="GridTable4-Accent5"/>
        <w:tblW w:w="5000" w:type="pct"/>
        <w:tblLook w:val="04A0" w:firstRow="1" w:lastRow="0" w:firstColumn="1" w:lastColumn="0" w:noHBand="0" w:noVBand="1"/>
      </w:tblPr>
      <w:tblGrid>
        <w:gridCol w:w="3823"/>
        <w:gridCol w:w="3119"/>
        <w:gridCol w:w="2544"/>
      </w:tblGrid>
      <w:tr w:rsidR="00E66558" w:rsidTr="00573896" w14:paraId="2A7D552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E66558" w:rsidRDefault="009D71E8" w14:paraId="2A7D5525" w14:textId="77777777">
            <w:pPr>
              <w:pStyle w:val="TableHeader"/>
              <w:jc w:val="left"/>
            </w:pPr>
            <w:r>
              <w:t>Activity</w:t>
            </w:r>
          </w:p>
        </w:tc>
        <w:tc>
          <w:tcPr>
            <w:tcW w:w="3119" w:type="dxa"/>
          </w:tcPr>
          <w:p w:rsidR="00E66558" w:rsidRDefault="009D71E8" w14:paraId="2A7D5526" w14:textId="77777777">
            <w:pPr>
              <w:pStyle w:val="TableHeader"/>
              <w:jc w:val="left"/>
              <w:cnfStyle w:val="100000000000" w:firstRow="1" w:lastRow="0" w:firstColumn="0" w:lastColumn="0" w:oddVBand="0" w:evenVBand="0" w:oddHBand="0" w:evenHBand="0" w:firstRowFirstColumn="0" w:firstRowLastColumn="0" w:lastRowFirstColumn="0" w:lastRowLastColumn="0"/>
            </w:pPr>
            <w:r>
              <w:t>Evidence that supports this approach</w:t>
            </w:r>
          </w:p>
        </w:tc>
        <w:tc>
          <w:tcPr>
            <w:tcW w:w="2544" w:type="dxa"/>
          </w:tcPr>
          <w:p w:rsidR="00E66558" w:rsidRDefault="009D71E8" w14:paraId="2A7D5527" w14:textId="77777777">
            <w:pPr>
              <w:pStyle w:val="TableHeader"/>
              <w:jc w:val="left"/>
              <w:cnfStyle w:val="100000000000" w:firstRow="1" w:lastRow="0" w:firstColumn="0" w:lastColumn="0" w:oddVBand="0" w:evenVBand="0" w:oddHBand="0" w:evenHBand="0" w:firstRowFirstColumn="0" w:firstRowLastColumn="0" w:lastRowFirstColumn="0" w:lastRowLastColumn="0"/>
            </w:pPr>
            <w:r>
              <w:t>Challenge number(s) addressed</w:t>
            </w:r>
          </w:p>
        </w:tc>
      </w:tr>
      <w:tr w:rsidR="00E66558" w:rsidTr="00573896" w14:paraId="2A7D55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E66558" w:rsidRDefault="00444BE7" w14:paraId="2A7D5529" w14:textId="0FA8AA93">
            <w:pPr>
              <w:pStyle w:val="TableRow"/>
            </w:pPr>
            <w:r>
              <w:t>Targeted interventions for speech and language, directed by a Speech and Language Therapist.</w:t>
            </w:r>
          </w:p>
        </w:tc>
        <w:tc>
          <w:tcPr>
            <w:tcW w:w="3119" w:type="dxa"/>
          </w:tcPr>
          <w:p w:rsidR="00E66558" w:rsidRDefault="00444BE7" w14:paraId="2A7D552A" w14:textId="42AA29A9">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sidRPr="00444BE7">
              <w:rPr>
                <w:sz w:val="22"/>
              </w:rPr>
              <w:t>EEF Guide to the Pupil Premium ‘Menu of approaches</w:t>
            </w:r>
            <w:r>
              <w:rPr>
                <w:sz w:val="22"/>
              </w:rPr>
              <w:t>’.</w:t>
            </w:r>
          </w:p>
        </w:tc>
        <w:tc>
          <w:tcPr>
            <w:tcW w:w="2544" w:type="dxa"/>
          </w:tcPr>
          <w:p w:rsidR="00E66558" w:rsidRDefault="00444BE7" w14:paraId="2A7D552B" w14:textId="54A48B30">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Pr>
                <w:sz w:val="22"/>
              </w:rPr>
              <w:t>3</w:t>
            </w:r>
          </w:p>
        </w:tc>
      </w:tr>
      <w:tr w:rsidR="00E66558" w:rsidTr="00573896" w14:paraId="2A7D5530" w14:textId="77777777">
        <w:tc>
          <w:tcPr>
            <w:cnfStyle w:val="001000000000" w:firstRow="0" w:lastRow="0" w:firstColumn="1" w:lastColumn="0" w:oddVBand="0" w:evenVBand="0" w:oddHBand="0" w:evenHBand="0" w:firstRowFirstColumn="0" w:firstRowLastColumn="0" w:lastRowFirstColumn="0" w:lastRowLastColumn="0"/>
            <w:tcW w:w="3823" w:type="dxa"/>
          </w:tcPr>
          <w:p w:rsidRPr="00212FF1" w:rsidR="00E66558" w:rsidP="5D3B3201" w:rsidRDefault="00212FF1" w14:paraId="2A7D552D" w14:textId="792A7D33">
            <w:pPr>
              <w:pStyle w:val="TableRow"/>
              <w:rPr>
                <w:sz w:val="22"/>
                <w:szCs w:val="22"/>
              </w:rPr>
            </w:pPr>
            <w:r>
              <w:rPr>
                <w:sz w:val="22"/>
                <w:szCs w:val="22"/>
              </w:rPr>
              <w:t>Precision te</w:t>
            </w:r>
            <w:r w:rsidR="00C54F71">
              <w:rPr>
                <w:sz w:val="22"/>
                <w:szCs w:val="22"/>
              </w:rPr>
              <w:t xml:space="preserve">aching inputs allows for gaps to be filed quickly. Rigorous planning and monitoring of this strategy means that children move through support quicky </w:t>
            </w:r>
          </w:p>
        </w:tc>
        <w:tc>
          <w:tcPr>
            <w:tcW w:w="3119" w:type="dxa"/>
          </w:tcPr>
          <w:p w:rsidR="008E786C" w:rsidRDefault="008E786C" w14:paraId="2A7D552E" w14:textId="2B446E14">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sidRPr="008E786C">
              <w:rPr>
                <w:sz w:val="22"/>
              </w:rPr>
              <w:t>Precision Teaching for maths: An academic critique Nicole Harris1 &amp; Sarah Wright1</w:t>
            </w:r>
            <w:r>
              <w:rPr>
                <w:sz w:val="22"/>
              </w:rPr>
              <w:t xml:space="preserve"> </w:t>
            </w:r>
          </w:p>
        </w:tc>
        <w:tc>
          <w:tcPr>
            <w:tcW w:w="2544" w:type="dxa"/>
          </w:tcPr>
          <w:p w:rsidR="00E66558" w:rsidRDefault="008E786C" w14:paraId="2A7D552F" w14:textId="7F3E8133">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6</w:t>
            </w:r>
          </w:p>
        </w:tc>
      </w:tr>
      <w:tr w:rsidR="008E786C" w:rsidTr="00573896" w14:paraId="58C549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8E786C" w:rsidP="5D3B3201" w:rsidRDefault="008E786C" w14:paraId="2BF8BF9E" w14:textId="59DF2E1E">
            <w:pPr>
              <w:pStyle w:val="TableRow"/>
              <w:rPr>
                <w:sz w:val="22"/>
                <w:szCs w:val="22"/>
              </w:rPr>
            </w:pPr>
            <w:r>
              <w:rPr>
                <w:sz w:val="22"/>
                <w:szCs w:val="22"/>
              </w:rPr>
              <w:t xml:space="preserve">SEMH </w:t>
            </w:r>
            <w:r w:rsidR="00642A4E">
              <w:rPr>
                <w:sz w:val="22"/>
                <w:szCs w:val="22"/>
              </w:rPr>
              <w:t xml:space="preserve">support / Draw and Talk/ Lego Club </w:t>
            </w:r>
          </w:p>
        </w:tc>
        <w:tc>
          <w:tcPr>
            <w:tcW w:w="3119" w:type="dxa"/>
          </w:tcPr>
          <w:p w:rsidRPr="008E786C" w:rsidR="008E786C" w:rsidRDefault="00350C41" w14:paraId="00DBED77" w14:textId="7C42FF3D">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sidRPr="00350C41">
              <w:rPr>
                <w:sz w:val="22"/>
              </w:rPr>
              <w:t>Supporting students with SEMH needs: An exploration of teacher</w:t>
            </w:r>
            <w:r>
              <w:rPr>
                <w:sz w:val="22"/>
              </w:rPr>
              <w:t xml:space="preserve"> </w:t>
            </w:r>
            <w:r w:rsidRPr="00350C41">
              <w:rPr>
                <w:sz w:val="22"/>
              </w:rPr>
              <w:t>student relationships and the use of personalised learning approaches.</w:t>
            </w:r>
            <w:r>
              <w:rPr>
                <w:sz w:val="22"/>
              </w:rPr>
              <w:t xml:space="preserve"> (2024) </w:t>
            </w:r>
            <w:r w:rsidRPr="0023167F" w:rsidR="0023167F">
              <w:rPr>
                <w:sz w:val="22"/>
              </w:rPr>
              <w:t>Rebecca Halliwell</w:t>
            </w:r>
          </w:p>
        </w:tc>
        <w:tc>
          <w:tcPr>
            <w:tcW w:w="2544" w:type="dxa"/>
          </w:tcPr>
          <w:p w:rsidR="008E786C" w:rsidRDefault="00F21E73" w14:paraId="10319246" w14:textId="471E5DC4">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Pr>
                <w:sz w:val="22"/>
              </w:rPr>
              <w:t>4</w:t>
            </w:r>
          </w:p>
        </w:tc>
      </w:tr>
      <w:tr w:rsidR="00F21E73" w:rsidTr="00573896" w14:paraId="54D77CD3" w14:textId="77777777">
        <w:tc>
          <w:tcPr>
            <w:cnfStyle w:val="001000000000" w:firstRow="0" w:lastRow="0" w:firstColumn="1" w:lastColumn="0" w:oddVBand="0" w:evenVBand="0" w:oddHBand="0" w:evenHBand="0" w:firstRowFirstColumn="0" w:firstRowLastColumn="0" w:lastRowFirstColumn="0" w:lastRowLastColumn="0"/>
            <w:tcW w:w="3823" w:type="dxa"/>
          </w:tcPr>
          <w:p w:rsidR="00F21E73" w:rsidP="5D3B3201" w:rsidRDefault="00F21E73" w14:paraId="23116BD3" w14:textId="68E9DC4C">
            <w:pPr>
              <w:pStyle w:val="TableRow"/>
              <w:rPr>
                <w:sz w:val="22"/>
                <w:szCs w:val="22"/>
              </w:rPr>
            </w:pPr>
            <w:r>
              <w:rPr>
                <w:sz w:val="22"/>
                <w:szCs w:val="22"/>
              </w:rPr>
              <w:t xml:space="preserve">EWO termly meetings </w:t>
            </w:r>
            <w:r w:rsidR="00B66D23">
              <w:rPr>
                <w:sz w:val="22"/>
                <w:szCs w:val="22"/>
              </w:rPr>
              <w:t xml:space="preserve">to support PA and SA pupils to come to school </w:t>
            </w:r>
          </w:p>
        </w:tc>
        <w:tc>
          <w:tcPr>
            <w:tcW w:w="3119" w:type="dxa"/>
          </w:tcPr>
          <w:p w:rsidRPr="005D5BB4" w:rsidR="00B66D23" w:rsidP="00B66D23" w:rsidRDefault="00B66D23" w14:paraId="521860F5" w14:textId="77777777">
            <w:pPr>
              <w:pStyle w:val="TableRowCentered"/>
              <w:ind w:left="0"/>
              <w:jc w:val="left"/>
              <w:cnfStyle w:val="000000000000" w:firstRow="0" w:lastRow="0" w:firstColumn="0" w:lastColumn="0" w:oddVBand="0" w:evenVBand="0" w:oddHBand="0" w:evenHBand="0" w:firstRowFirstColumn="0" w:firstRowLastColumn="0" w:lastRowFirstColumn="0" w:lastRowLastColumn="0"/>
              <w:rPr>
                <w:sz w:val="22"/>
                <w:szCs w:val="22"/>
              </w:rPr>
            </w:pPr>
            <w:r w:rsidRPr="005D5BB4">
              <w:rPr>
                <w:sz w:val="22"/>
                <w:szCs w:val="22"/>
              </w:rPr>
              <w:t>DFE Improving School Attendance (2022)</w:t>
            </w:r>
          </w:p>
          <w:p w:rsidRPr="008E786C" w:rsidR="00F21E73" w:rsidRDefault="00F21E73" w14:paraId="6E625218" w14:textId="77777777">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p>
        </w:tc>
        <w:tc>
          <w:tcPr>
            <w:tcW w:w="2544" w:type="dxa"/>
          </w:tcPr>
          <w:p w:rsidR="00F21E73" w:rsidRDefault="00B66D23" w14:paraId="4CF457C2" w14:textId="6CB9F2D1">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5</w:t>
            </w:r>
          </w:p>
        </w:tc>
      </w:tr>
      <w:tr w:rsidR="00350C41" w:rsidTr="00573896" w14:paraId="25A85E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350C41" w:rsidP="5D3B3201" w:rsidRDefault="00350C41" w14:paraId="5D3C9D38" w14:textId="0C73FE5C">
            <w:pPr>
              <w:pStyle w:val="TableRow"/>
              <w:rPr>
                <w:sz w:val="22"/>
                <w:szCs w:val="22"/>
              </w:rPr>
            </w:pPr>
            <w:r>
              <w:rPr>
                <w:sz w:val="22"/>
                <w:szCs w:val="22"/>
              </w:rPr>
              <w:t xml:space="preserve">1:1 SaLT </w:t>
            </w:r>
            <w:r w:rsidR="00811563">
              <w:rPr>
                <w:sz w:val="22"/>
                <w:szCs w:val="22"/>
              </w:rPr>
              <w:t xml:space="preserve">therapy </w:t>
            </w:r>
          </w:p>
        </w:tc>
        <w:tc>
          <w:tcPr>
            <w:tcW w:w="3119" w:type="dxa"/>
          </w:tcPr>
          <w:p w:rsidRPr="005D5BB4" w:rsidR="00350C41" w:rsidP="00B66D23" w:rsidRDefault="00811563" w14:paraId="79686571" w14:textId="4AE6B2DF">
            <w:pPr>
              <w:pStyle w:val="TableRowCentered"/>
              <w:ind w:left="0"/>
              <w:jc w:val="left"/>
              <w:cnfStyle w:val="000000100000" w:firstRow="0" w:lastRow="0" w:firstColumn="0" w:lastColumn="0" w:oddVBand="0" w:evenVBand="0" w:oddHBand="1" w:evenHBand="0" w:firstRowFirstColumn="0" w:firstRowLastColumn="0" w:lastRowFirstColumn="0" w:lastRowLastColumn="0"/>
              <w:rPr>
                <w:sz w:val="22"/>
                <w:szCs w:val="22"/>
              </w:rPr>
            </w:pPr>
            <w:r>
              <w:rPr>
                <w:i/>
                <w:iCs/>
                <w:sz w:val="22"/>
              </w:rPr>
              <w:t>“</w:t>
            </w:r>
            <w:r w:rsidRPr="00444BE7">
              <w:rPr>
                <w:i/>
                <w:iCs/>
                <w:sz w:val="22"/>
              </w:rPr>
              <w:t>Professional development in speech, language and communication</w:t>
            </w:r>
            <w:r>
              <w:rPr>
                <w:i/>
                <w:iCs/>
                <w:sz w:val="22"/>
              </w:rPr>
              <w:t xml:space="preserve">”, </w:t>
            </w:r>
            <w:r w:rsidRPr="00444BE7">
              <w:rPr>
                <w:sz w:val="22"/>
              </w:rPr>
              <w:t>publication from The Communication Trust</w:t>
            </w:r>
          </w:p>
        </w:tc>
        <w:tc>
          <w:tcPr>
            <w:tcW w:w="2544" w:type="dxa"/>
          </w:tcPr>
          <w:p w:rsidR="00350C41" w:rsidRDefault="00811563" w14:paraId="3508977D" w14:textId="0F68FC91">
            <w:pPr>
              <w:pStyle w:val="TableRowCentered"/>
              <w:jc w:val="left"/>
              <w:cnfStyle w:val="000000100000" w:firstRow="0" w:lastRow="0" w:firstColumn="0" w:lastColumn="0" w:oddVBand="0" w:evenVBand="0" w:oddHBand="1" w:evenHBand="0" w:firstRowFirstColumn="0" w:firstRowLastColumn="0" w:lastRowFirstColumn="0" w:lastRowLastColumn="0"/>
              <w:rPr>
                <w:sz w:val="22"/>
              </w:rPr>
            </w:pPr>
            <w:r>
              <w:rPr>
                <w:sz w:val="22"/>
              </w:rPr>
              <w:t>3</w:t>
            </w:r>
          </w:p>
        </w:tc>
      </w:tr>
      <w:tr w:rsidR="00247D2B" w:rsidTr="00573896" w14:paraId="1F48CDB5" w14:textId="77777777">
        <w:tc>
          <w:tcPr>
            <w:cnfStyle w:val="001000000000" w:firstRow="0" w:lastRow="0" w:firstColumn="1" w:lastColumn="0" w:oddVBand="0" w:evenVBand="0" w:oddHBand="0" w:evenHBand="0" w:firstRowFirstColumn="0" w:firstRowLastColumn="0" w:lastRowFirstColumn="0" w:lastRowLastColumn="0"/>
            <w:tcW w:w="3823" w:type="dxa"/>
          </w:tcPr>
          <w:p w:rsidR="00247D2B" w:rsidP="5D3B3201" w:rsidRDefault="00247D2B" w14:paraId="4E70536F" w14:textId="31C5D4C2">
            <w:pPr>
              <w:pStyle w:val="TableRow"/>
              <w:rPr>
                <w:sz w:val="22"/>
                <w:szCs w:val="22"/>
              </w:rPr>
            </w:pPr>
            <w:r>
              <w:rPr>
                <w:sz w:val="22"/>
                <w:szCs w:val="22"/>
              </w:rPr>
              <w:t xml:space="preserve">1:1 tuition Read Write inc </w:t>
            </w:r>
          </w:p>
        </w:tc>
        <w:tc>
          <w:tcPr>
            <w:tcW w:w="3119" w:type="dxa"/>
          </w:tcPr>
          <w:p w:rsidR="00247D2B" w:rsidP="00B66D23" w:rsidRDefault="00E53588" w14:paraId="463DB466" w14:textId="674B1A99">
            <w:pPr>
              <w:pStyle w:val="TableRowCentered"/>
              <w:ind w:left="0"/>
              <w:jc w:val="left"/>
              <w:cnfStyle w:val="000000000000" w:firstRow="0" w:lastRow="0" w:firstColumn="0" w:lastColumn="0" w:oddVBand="0" w:evenVBand="0" w:oddHBand="0" w:evenHBand="0" w:firstRowFirstColumn="0" w:firstRowLastColumn="0" w:lastRowFirstColumn="0" w:lastRowLastColumn="0"/>
              <w:rPr>
                <w:i/>
                <w:iCs/>
                <w:sz w:val="22"/>
              </w:rPr>
            </w:pPr>
            <w:r w:rsidRPr="00E53588">
              <w:rPr>
                <w:i/>
                <w:iCs/>
                <w:sz w:val="22"/>
              </w:rPr>
              <w:t>Phonics has a positive impact overall (+5 months) with very extensive evidence and is an important component in the development of early reading skills, particularly for children from disadvantaged backgrounds.’ EEF (Evidence strength 5/5)</w:t>
            </w:r>
          </w:p>
        </w:tc>
        <w:tc>
          <w:tcPr>
            <w:tcW w:w="2544" w:type="dxa"/>
          </w:tcPr>
          <w:p w:rsidR="00247D2B" w:rsidRDefault="00247D2B" w14:paraId="483E762F" w14:textId="182FA5C1">
            <w:pPr>
              <w:pStyle w:val="TableRowCentered"/>
              <w:jc w:val="left"/>
              <w:cnfStyle w:val="000000000000" w:firstRow="0" w:lastRow="0" w:firstColumn="0" w:lastColumn="0" w:oddVBand="0" w:evenVBand="0" w:oddHBand="0" w:evenHBand="0" w:firstRowFirstColumn="0" w:firstRowLastColumn="0" w:lastRowFirstColumn="0" w:lastRowLastColumn="0"/>
              <w:rPr>
                <w:sz w:val="22"/>
              </w:rPr>
            </w:pPr>
            <w:r>
              <w:rPr>
                <w:sz w:val="22"/>
              </w:rPr>
              <w:t>6</w:t>
            </w:r>
            <w:r w:rsidR="00E53588">
              <w:rPr>
                <w:sz w:val="22"/>
              </w:rPr>
              <w:t>/ 3</w:t>
            </w:r>
          </w:p>
        </w:tc>
      </w:tr>
    </w:tbl>
    <w:p w:rsidR="00E66558" w:rsidP="00AA355B" w:rsidRDefault="00E66558" w14:paraId="2A7D5531" w14:textId="77777777"/>
    <w:p w:rsidRPr="00AA355B" w:rsidR="00E66558" w:rsidP="00AA355B" w:rsidRDefault="009D71E8" w14:paraId="2A7D5532" w14:textId="59A68BC3">
      <w:pPr>
        <w:pStyle w:val="Heading3"/>
      </w:pPr>
      <w:r>
        <w:t>Wider strategies (for example, related to attendance, behaviour, wellbeing)</w:t>
      </w:r>
    </w:p>
    <w:p w:rsidR="00E66558" w:rsidRDefault="009D71E8" w14:paraId="2A7D5533" w14:textId="24CE361B">
      <w:pPr>
        <w:spacing w:before="240" w:after="120"/>
      </w:pPr>
      <w:r>
        <w:t>Budgeted cost: £</w:t>
      </w:r>
      <w:r w:rsidR="000A1100">
        <w:t>2500</w:t>
      </w:r>
    </w:p>
    <w:tbl>
      <w:tblPr>
        <w:tblStyle w:val="GridTable4-Accent5"/>
        <w:tblW w:w="5000" w:type="pct"/>
        <w:tblLook w:val="04A0" w:firstRow="1" w:lastRow="0" w:firstColumn="1" w:lastColumn="0" w:noHBand="0" w:noVBand="1"/>
      </w:tblPr>
      <w:tblGrid>
        <w:gridCol w:w="2688"/>
        <w:gridCol w:w="4254"/>
        <w:gridCol w:w="2544"/>
      </w:tblGrid>
      <w:tr w:rsidR="00E66558" w:rsidTr="00506051" w14:paraId="2A7D55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E66558" w:rsidRDefault="009D71E8" w14:paraId="2A7D5534" w14:textId="77777777">
            <w:pPr>
              <w:pStyle w:val="TableHeader"/>
              <w:jc w:val="left"/>
            </w:pPr>
            <w:r>
              <w:t>Activity</w:t>
            </w:r>
          </w:p>
        </w:tc>
        <w:tc>
          <w:tcPr>
            <w:tcW w:w="4254" w:type="dxa"/>
          </w:tcPr>
          <w:p w:rsidR="00E66558" w:rsidRDefault="009D71E8" w14:paraId="2A7D5535" w14:textId="77777777">
            <w:pPr>
              <w:pStyle w:val="TableHeader"/>
              <w:jc w:val="left"/>
              <w:cnfStyle w:val="100000000000" w:firstRow="1" w:lastRow="0" w:firstColumn="0" w:lastColumn="0" w:oddVBand="0" w:evenVBand="0" w:oddHBand="0" w:evenHBand="0" w:firstRowFirstColumn="0" w:firstRowLastColumn="0" w:lastRowFirstColumn="0" w:lastRowLastColumn="0"/>
            </w:pPr>
            <w:r>
              <w:t>Evidence that supports this approach</w:t>
            </w:r>
          </w:p>
        </w:tc>
        <w:tc>
          <w:tcPr>
            <w:tcW w:w="2544" w:type="dxa"/>
          </w:tcPr>
          <w:p w:rsidR="00E66558" w:rsidRDefault="009D71E8" w14:paraId="2A7D5536" w14:textId="77777777">
            <w:pPr>
              <w:pStyle w:val="TableHeader"/>
              <w:jc w:val="left"/>
              <w:cnfStyle w:val="100000000000" w:firstRow="1" w:lastRow="0" w:firstColumn="0" w:lastColumn="0" w:oddVBand="0" w:evenVBand="0" w:oddHBand="0" w:evenHBand="0" w:firstRowFirstColumn="0" w:firstRowLastColumn="0" w:lastRowFirstColumn="0" w:lastRowLastColumn="0"/>
            </w:pPr>
            <w:r>
              <w:t>Challenge number(s) addressed</w:t>
            </w:r>
          </w:p>
        </w:tc>
      </w:tr>
      <w:tr w:rsidR="00E66558" w:rsidTr="00506051" w14:paraId="2A7D55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Pr="00506051" w:rsidR="00E66558" w:rsidRDefault="00E4500F" w14:paraId="2A7D5538" w14:textId="6256D3C8">
            <w:pPr>
              <w:pStyle w:val="TableRow"/>
              <w:rPr>
                <w:rFonts w:asciiTheme="minorHAnsi" w:hAnsiTheme="minorHAnsi" w:cstheme="minorHAnsi"/>
                <w:sz w:val="22"/>
                <w:szCs w:val="22"/>
              </w:rPr>
            </w:pPr>
            <w:r w:rsidRPr="00506051">
              <w:rPr>
                <w:rFonts w:asciiTheme="minorHAnsi" w:hAnsiTheme="minorHAnsi" w:cstheme="minorHAnsi"/>
                <w:sz w:val="22"/>
                <w:szCs w:val="22"/>
              </w:rPr>
              <w:t xml:space="preserve">Parent workshops for children in EYFS, to raise the importance of reading with young children. </w:t>
            </w:r>
          </w:p>
        </w:tc>
        <w:tc>
          <w:tcPr>
            <w:tcW w:w="4254" w:type="dxa"/>
          </w:tcPr>
          <w:p w:rsidRPr="00506051" w:rsidR="00FA5B50" w:rsidP="00FA5B50" w:rsidRDefault="00E4500F" w14:paraId="4D98CB8A" w14:textId="77777777">
            <w:pPr>
              <w:pStyle w:val="TableRow"/>
              <w:spacing w:after="0" w:afterAutospacing="1"/>
              <w:cnfStyle w:val="000000100000" w:firstRow="0" w:lastRow="0" w:firstColumn="0" w:lastColumn="0" w:oddVBand="0" w:evenVBand="0" w:oddHBand="1" w:evenHBand="0" w:firstRowFirstColumn="0" w:firstRowLastColumn="0" w:lastRowFirstColumn="0" w:lastRowLastColumn="0"/>
              <w:rPr>
                <w:rFonts w:eastAsia="Gill Sans MT" w:asciiTheme="minorHAnsi" w:hAnsiTheme="minorHAnsi" w:cstheme="minorHAnsi"/>
                <w:color w:val="000000" w:themeColor="text1"/>
                <w:sz w:val="22"/>
                <w:szCs w:val="22"/>
              </w:rPr>
            </w:pPr>
            <w:r w:rsidRPr="00506051">
              <w:rPr>
                <w:rFonts w:asciiTheme="minorHAnsi" w:hAnsiTheme="minorHAnsi" w:cstheme="minorHAnsi"/>
                <w:sz w:val="22"/>
                <w:szCs w:val="22"/>
              </w:rPr>
              <w:t>Reference list from the Book Trust’s “</w:t>
            </w:r>
            <w:r w:rsidRPr="00506051">
              <w:rPr>
                <w:rFonts w:asciiTheme="minorHAnsi" w:hAnsiTheme="minorHAnsi" w:cstheme="minorHAnsi"/>
                <w:i/>
                <w:iCs/>
                <w:sz w:val="22"/>
                <w:szCs w:val="22"/>
              </w:rPr>
              <w:t>Getting Children Reading”</w:t>
            </w:r>
            <w:r w:rsidRPr="00506051">
              <w:rPr>
                <w:rFonts w:asciiTheme="minorHAnsi" w:hAnsiTheme="minorHAnsi" w:cstheme="minorHAnsi"/>
                <w:sz w:val="22"/>
                <w:szCs w:val="22"/>
              </w:rPr>
              <w:t xml:space="preserve"> strategy</w:t>
            </w:r>
            <w:r w:rsidRPr="00506051" w:rsidR="00FA5B50">
              <w:rPr>
                <w:rFonts w:eastAsia="Gill Sans MT" w:asciiTheme="minorHAnsi" w:hAnsiTheme="minorHAnsi" w:cstheme="minorHAnsi"/>
                <w:color w:val="000000" w:themeColor="text1"/>
                <w:sz w:val="22"/>
                <w:szCs w:val="22"/>
              </w:rPr>
              <w:t xml:space="preserve"> </w:t>
            </w:r>
          </w:p>
          <w:p w:rsidRPr="00506051" w:rsidR="00FA5B50" w:rsidP="00FA5B50" w:rsidRDefault="00FA5B50" w14:paraId="66838DC9" w14:textId="5F229AC8">
            <w:pPr>
              <w:pStyle w:val="TableRow"/>
              <w:spacing w:after="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6051">
              <w:rPr>
                <w:rFonts w:eastAsia="Gill Sans MT" w:asciiTheme="minorHAnsi" w:hAnsiTheme="minorHAnsi" w:cstheme="minorHAnsi"/>
                <w:color w:val="000000" w:themeColor="text1"/>
                <w:sz w:val="22"/>
                <w:szCs w:val="22"/>
              </w:rPr>
              <w:t>John Hattie (2008) estimates that the effect of parental engagement is equivalent to two to three additional</w:t>
            </w:r>
          </w:p>
          <w:p w:rsidRPr="00506051" w:rsidR="00FA5B50" w:rsidP="00FA5B50" w:rsidRDefault="00FA5B50" w14:paraId="5FE34B1C" w14:textId="77777777">
            <w:pPr>
              <w:pStyle w:val="TableRow"/>
              <w:spacing w:after="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6051">
              <w:rPr>
                <w:rFonts w:eastAsia="Gill Sans MT" w:asciiTheme="minorHAnsi" w:hAnsiTheme="minorHAnsi" w:cstheme="minorHAnsi"/>
                <w:color w:val="000000" w:themeColor="text1"/>
                <w:sz w:val="22"/>
                <w:szCs w:val="22"/>
              </w:rPr>
              <w:t>years learning over a pupil’s school career.</w:t>
            </w:r>
          </w:p>
          <w:p w:rsidRPr="00506051" w:rsidR="00E66558" w:rsidRDefault="00E66558" w14:paraId="2A7D5539" w14:textId="2DC54B03">
            <w:pPr>
              <w:pStyle w:val="TableRowCente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544" w:type="dxa"/>
          </w:tcPr>
          <w:p w:rsidRPr="00506051" w:rsidR="00E66558" w:rsidRDefault="00E4500F" w14:paraId="2A7D553A" w14:textId="2FB4533F">
            <w:pPr>
              <w:pStyle w:val="TableRowCente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2</w:t>
            </w:r>
          </w:p>
        </w:tc>
      </w:tr>
      <w:tr w:rsidR="6DCBBDB1" w:rsidTr="00506051" w14:paraId="349A9571" w14:textId="77777777">
        <w:trPr>
          <w:trHeight w:val="300"/>
        </w:trPr>
        <w:tc>
          <w:tcPr>
            <w:cnfStyle w:val="001000000000" w:firstRow="0" w:lastRow="0" w:firstColumn="1" w:lastColumn="0" w:oddVBand="0" w:evenVBand="0" w:oddHBand="0" w:evenHBand="0" w:firstRowFirstColumn="0" w:firstRowLastColumn="0" w:lastRowFirstColumn="0" w:lastRowLastColumn="0"/>
            <w:tcW w:w="2688" w:type="dxa"/>
          </w:tcPr>
          <w:p w:rsidRPr="00506051" w:rsidR="6DCBBDB1" w:rsidP="6DCBBDB1" w:rsidRDefault="00864EF3" w14:paraId="14B38C52" w14:textId="40045FF5">
            <w:pPr>
              <w:pStyle w:val="TableRow"/>
              <w:rPr>
                <w:rFonts w:eastAsia="Gill Sans MT" w:asciiTheme="minorHAnsi" w:hAnsiTheme="minorHAnsi" w:cstheme="minorHAnsi"/>
                <w:color w:val="000000" w:themeColor="text1"/>
                <w:sz w:val="22"/>
                <w:szCs w:val="22"/>
              </w:rPr>
            </w:pPr>
            <w:r w:rsidRPr="00506051">
              <w:rPr>
                <w:rFonts w:eastAsia="Gill Sans MT" w:asciiTheme="minorHAnsi" w:hAnsiTheme="minorHAnsi" w:cstheme="minorHAnsi"/>
                <w:color w:val="000000" w:themeColor="text1"/>
                <w:sz w:val="22"/>
                <w:szCs w:val="22"/>
              </w:rPr>
              <w:t>Support for</w:t>
            </w:r>
            <w:r w:rsidRPr="00506051" w:rsidR="009E04A9">
              <w:rPr>
                <w:rFonts w:eastAsia="Gill Sans MT" w:asciiTheme="minorHAnsi" w:hAnsiTheme="minorHAnsi" w:cstheme="minorHAnsi"/>
                <w:color w:val="000000" w:themeColor="text1"/>
                <w:sz w:val="22"/>
                <w:szCs w:val="22"/>
              </w:rPr>
              <w:t xml:space="preserve"> purchasing</w:t>
            </w:r>
            <w:r w:rsidRPr="00506051">
              <w:rPr>
                <w:rFonts w:eastAsia="Gill Sans MT" w:asciiTheme="minorHAnsi" w:hAnsiTheme="minorHAnsi" w:cstheme="minorHAnsi"/>
                <w:color w:val="000000" w:themeColor="text1"/>
                <w:sz w:val="22"/>
                <w:szCs w:val="22"/>
              </w:rPr>
              <w:t xml:space="preserve"> </w:t>
            </w:r>
            <w:r w:rsidRPr="00506051" w:rsidR="009E04A9">
              <w:rPr>
                <w:rFonts w:eastAsia="Gill Sans MT" w:asciiTheme="minorHAnsi" w:hAnsiTheme="minorHAnsi" w:cstheme="minorHAnsi"/>
                <w:color w:val="000000" w:themeColor="text1"/>
                <w:sz w:val="22"/>
                <w:szCs w:val="22"/>
              </w:rPr>
              <w:t xml:space="preserve">uniform and shoes </w:t>
            </w:r>
          </w:p>
        </w:tc>
        <w:tc>
          <w:tcPr>
            <w:tcW w:w="4254" w:type="dxa"/>
          </w:tcPr>
          <w:p w:rsidRPr="00506051" w:rsidR="00381C52" w:rsidP="00381C52" w:rsidRDefault="00381C52" w14:paraId="6F6B0492" w14:textId="77777777">
            <w:pPr>
              <w:pStyle w:val="TableRowCentered"/>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DFE Improving School Attendance (2022)</w:t>
            </w:r>
          </w:p>
          <w:p w:rsidRPr="00506051" w:rsidR="005364A8" w:rsidP="00381C52" w:rsidRDefault="005364A8" w14:paraId="2EA520E0" w14:textId="0FEAF82F">
            <w:pPr>
              <w:pStyle w:val="TableRowCentered"/>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i/>
                <w:iCs/>
                <w:sz w:val="22"/>
                <w:szCs w:val="22"/>
              </w:rPr>
              <w:t>Betthaeuser et al. (2020): Impact on academic outcomes, mental health and social factors</w:t>
            </w:r>
          </w:p>
          <w:p w:rsidRPr="00506051" w:rsidR="6DCBBDB1" w:rsidP="00FA5B50" w:rsidRDefault="6DCBBDB1" w14:paraId="395DF1C1" w14:textId="30CD2096">
            <w:pPr>
              <w:pStyle w:val="TableRow"/>
              <w:spacing w:after="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544" w:type="dxa"/>
          </w:tcPr>
          <w:p w:rsidRPr="00506051" w:rsidR="0AF2902C" w:rsidP="6DCBBDB1" w:rsidRDefault="009E04A9" w14:paraId="37111690" w14:textId="2546951B">
            <w:pPr>
              <w:pStyle w:val="TableRowCente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4</w:t>
            </w:r>
          </w:p>
        </w:tc>
      </w:tr>
      <w:tr w:rsidR="009E04A9" w:rsidTr="00506051" w14:paraId="3634DE7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8" w:type="dxa"/>
          </w:tcPr>
          <w:p w:rsidRPr="00506051" w:rsidR="009E04A9" w:rsidP="6DCBBDB1" w:rsidRDefault="009E04A9" w14:paraId="7052C998" w14:textId="65D65E56">
            <w:pPr>
              <w:pStyle w:val="TableRow"/>
              <w:rPr>
                <w:rFonts w:eastAsia="Gill Sans MT" w:asciiTheme="minorHAnsi" w:hAnsiTheme="minorHAnsi" w:cstheme="minorHAnsi"/>
                <w:color w:val="000000" w:themeColor="text1"/>
                <w:sz w:val="22"/>
                <w:szCs w:val="22"/>
              </w:rPr>
            </w:pPr>
            <w:r w:rsidRPr="00506051">
              <w:rPr>
                <w:rFonts w:eastAsia="Gill Sans MT" w:asciiTheme="minorHAnsi" w:hAnsiTheme="minorHAnsi" w:cstheme="minorHAnsi"/>
                <w:color w:val="000000" w:themeColor="text1"/>
                <w:sz w:val="22"/>
                <w:szCs w:val="22"/>
              </w:rPr>
              <w:t xml:space="preserve">Support for attending events, trips, visits </w:t>
            </w:r>
          </w:p>
        </w:tc>
        <w:tc>
          <w:tcPr>
            <w:tcW w:w="4254" w:type="dxa"/>
          </w:tcPr>
          <w:p w:rsidRPr="00506051" w:rsidR="009E04A9" w:rsidP="00FA5B50" w:rsidRDefault="005364A8" w14:paraId="330CB1AC" w14:textId="443FEF80">
            <w:pPr>
              <w:pStyle w:val="TableRow"/>
              <w:spacing w:after="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i/>
                <w:iCs/>
                <w:sz w:val="22"/>
                <w:szCs w:val="22"/>
              </w:rPr>
              <w:t>Betthaeuser et al. (2020): Impact on academic outcomes, mental health and social factors</w:t>
            </w:r>
          </w:p>
        </w:tc>
        <w:tc>
          <w:tcPr>
            <w:tcW w:w="2544" w:type="dxa"/>
          </w:tcPr>
          <w:p w:rsidRPr="00506051" w:rsidR="009E04A9" w:rsidP="6DCBBDB1" w:rsidRDefault="005364A8" w14:paraId="0908EB3B" w14:textId="63D3E5D4">
            <w:pPr>
              <w:pStyle w:val="TableRowCente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4</w:t>
            </w:r>
          </w:p>
        </w:tc>
      </w:tr>
      <w:tr w:rsidR="009E04A9" w:rsidTr="00506051" w14:paraId="6984AB98" w14:textId="77777777">
        <w:trPr>
          <w:trHeight w:val="300"/>
        </w:trPr>
        <w:tc>
          <w:tcPr>
            <w:cnfStyle w:val="001000000000" w:firstRow="0" w:lastRow="0" w:firstColumn="1" w:lastColumn="0" w:oddVBand="0" w:evenVBand="0" w:oddHBand="0" w:evenHBand="0" w:firstRowFirstColumn="0" w:firstRowLastColumn="0" w:lastRowFirstColumn="0" w:lastRowLastColumn="0"/>
            <w:tcW w:w="2688" w:type="dxa"/>
          </w:tcPr>
          <w:p w:rsidRPr="00506051" w:rsidR="009E04A9" w:rsidP="6DCBBDB1" w:rsidRDefault="009E04A9" w14:paraId="06E10A80" w14:textId="68FAAC79">
            <w:pPr>
              <w:pStyle w:val="TableRow"/>
              <w:rPr>
                <w:rFonts w:eastAsia="Gill Sans MT" w:asciiTheme="minorHAnsi" w:hAnsiTheme="minorHAnsi" w:cstheme="minorHAnsi"/>
                <w:color w:val="000000" w:themeColor="text1"/>
                <w:sz w:val="22"/>
                <w:szCs w:val="22"/>
              </w:rPr>
            </w:pPr>
            <w:r w:rsidRPr="00506051">
              <w:rPr>
                <w:rFonts w:eastAsia="Gill Sans MT" w:asciiTheme="minorHAnsi" w:hAnsiTheme="minorHAnsi" w:cstheme="minorHAnsi"/>
                <w:color w:val="000000" w:themeColor="text1"/>
                <w:sz w:val="22"/>
                <w:szCs w:val="22"/>
              </w:rPr>
              <w:t>Support for parents</w:t>
            </w:r>
            <w:r w:rsidRPr="00506051" w:rsidR="00EA7020">
              <w:rPr>
                <w:rFonts w:eastAsia="Gill Sans MT" w:asciiTheme="minorHAnsi" w:hAnsiTheme="minorHAnsi" w:cstheme="minorHAnsi"/>
                <w:color w:val="000000" w:themeColor="text1"/>
                <w:sz w:val="22"/>
                <w:szCs w:val="22"/>
              </w:rPr>
              <w:t xml:space="preserve">: referrals, meetings to promote SEMH, behaviours in the home.  </w:t>
            </w:r>
          </w:p>
        </w:tc>
        <w:tc>
          <w:tcPr>
            <w:tcW w:w="4254" w:type="dxa"/>
          </w:tcPr>
          <w:p w:rsidRPr="00506051" w:rsidR="00506051" w:rsidP="00506051" w:rsidRDefault="00506051" w14:paraId="295584A6" w14:textId="77777777">
            <w:pPr>
              <w:pStyle w:val="TableRow"/>
              <w:spacing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2"/>
                <w:szCs w:val="22"/>
              </w:rPr>
            </w:pPr>
            <w:r w:rsidRPr="00506051">
              <w:rPr>
                <w:rFonts w:asciiTheme="minorHAnsi" w:hAnsiTheme="minorHAnsi" w:cstheme="minorHAnsi"/>
                <w:i/>
                <w:iCs/>
                <w:sz w:val="22"/>
                <w:szCs w:val="22"/>
              </w:rPr>
              <w:t>Family factors and student achievement: An avenue to increase students' success.</w:t>
            </w:r>
          </w:p>
          <w:p w:rsidRPr="00506051" w:rsidR="00506051" w:rsidP="00506051" w:rsidRDefault="00506051" w14:paraId="50CE8AC7" w14:textId="77777777">
            <w:pPr>
              <w:pStyle w:val="TableRow"/>
              <w:spacing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By Christenson, Sandra L.,Rounds, Theresa,Gorney, Deborah</w:t>
            </w:r>
          </w:p>
          <w:p w:rsidRPr="00506051" w:rsidR="00506051" w:rsidP="00506051" w:rsidRDefault="00506051" w14:paraId="1EAED028" w14:textId="77777777">
            <w:pPr>
              <w:pStyle w:val="TableRow"/>
              <w:spacing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School Psychology Quarterly, Vol 7(3), Fal 1992, 178-206</w:t>
            </w:r>
          </w:p>
          <w:p w:rsidRPr="00506051" w:rsidR="009E04A9" w:rsidP="00FA5B50" w:rsidRDefault="009E04A9" w14:paraId="025C754B" w14:textId="77777777">
            <w:pPr>
              <w:pStyle w:val="TableRow"/>
              <w:spacing w:after="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544" w:type="dxa"/>
          </w:tcPr>
          <w:p w:rsidRPr="00506051" w:rsidR="009E04A9" w:rsidP="6DCBBDB1" w:rsidRDefault="005364A8" w14:paraId="300C78D7" w14:textId="77CBBCFB">
            <w:pPr>
              <w:pStyle w:val="TableRowCente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 xml:space="preserve">All </w:t>
            </w:r>
          </w:p>
        </w:tc>
      </w:tr>
      <w:tr w:rsidR="00EA7020" w:rsidTr="00506051" w14:paraId="648ADAD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8" w:type="dxa"/>
          </w:tcPr>
          <w:p w:rsidRPr="00506051" w:rsidR="00EA7020" w:rsidP="6DCBBDB1" w:rsidRDefault="00381C52" w14:paraId="3FB72126" w14:textId="73068AD7">
            <w:pPr>
              <w:pStyle w:val="TableRow"/>
              <w:rPr>
                <w:rFonts w:eastAsia="Gill Sans MT" w:asciiTheme="minorHAnsi" w:hAnsiTheme="minorHAnsi" w:cstheme="minorHAnsi"/>
                <w:color w:val="000000" w:themeColor="text1"/>
                <w:sz w:val="22"/>
                <w:szCs w:val="22"/>
              </w:rPr>
            </w:pPr>
            <w:r w:rsidRPr="00506051">
              <w:rPr>
                <w:rFonts w:eastAsia="Gill Sans MT" w:asciiTheme="minorHAnsi" w:hAnsiTheme="minorHAnsi" w:cstheme="minorHAnsi"/>
                <w:color w:val="000000" w:themeColor="text1"/>
                <w:sz w:val="22"/>
                <w:szCs w:val="22"/>
              </w:rPr>
              <w:t xml:space="preserve">Access to before and after school clubs to support attendance </w:t>
            </w:r>
          </w:p>
        </w:tc>
        <w:tc>
          <w:tcPr>
            <w:tcW w:w="4254" w:type="dxa"/>
          </w:tcPr>
          <w:p w:rsidRPr="00506051" w:rsidR="005364A8" w:rsidP="005364A8" w:rsidRDefault="005364A8" w14:paraId="34DC852C" w14:textId="77777777">
            <w:pPr>
              <w:pStyle w:val="TableRowCentered"/>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DFE Improving School Attendance (2022)</w:t>
            </w:r>
          </w:p>
          <w:p w:rsidRPr="00506051" w:rsidR="00EA7020" w:rsidP="00FA5B50" w:rsidRDefault="00EA7020" w14:paraId="6F7F7B74" w14:textId="77777777">
            <w:pPr>
              <w:pStyle w:val="TableRow"/>
              <w:spacing w:after="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544" w:type="dxa"/>
          </w:tcPr>
          <w:p w:rsidRPr="00506051" w:rsidR="00EA7020" w:rsidP="6DCBBDB1" w:rsidRDefault="005364A8" w14:paraId="08B00A61" w14:textId="5E1DDB73">
            <w:pPr>
              <w:pStyle w:val="TableRowCente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06051">
              <w:rPr>
                <w:rFonts w:asciiTheme="minorHAnsi" w:hAnsiTheme="minorHAnsi" w:cstheme="minorHAnsi"/>
                <w:sz w:val="22"/>
                <w:szCs w:val="22"/>
              </w:rPr>
              <w:t>5</w:t>
            </w:r>
          </w:p>
        </w:tc>
      </w:tr>
      <w:tr w:rsidR="00966EB1" w:rsidTr="00506051" w14:paraId="4B30CE55" w14:textId="77777777">
        <w:trPr>
          <w:trHeight w:val="300"/>
        </w:trPr>
        <w:tc>
          <w:tcPr>
            <w:cnfStyle w:val="001000000000" w:firstRow="0" w:lastRow="0" w:firstColumn="1" w:lastColumn="0" w:oddVBand="0" w:evenVBand="0" w:oddHBand="0" w:evenHBand="0" w:firstRowFirstColumn="0" w:firstRowLastColumn="0" w:lastRowFirstColumn="0" w:lastRowLastColumn="0"/>
            <w:tcW w:w="2688" w:type="dxa"/>
          </w:tcPr>
          <w:p w:rsidRPr="00506051" w:rsidR="00966EB1" w:rsidP="6DCBBDB1" w:rsidRDefault="00966EB1" w14:paraId="1193AA73" w14:textId="44F807CE">
            <w:pPr>
              <w:pStyle w:val="TableRow"/>
              <w:rPr>
                <w:rFonts w:eastAsia="Gill Sans MT" w:asciiTheme="minorHAnsi" w:hAnsiTheme="minorHAnsi" w:cstheme="minorHAnsi"/>
                <w:color w:val="000000" w:themeColor="text1"/>
                <w:sz w:val="22"/>
                <w:szCs w:val="22"/>
              </w:rPr>
            </w:pPr>
            <w:r>
              <w:rPr>
                <w:rFonts w:eastAsia="Gill Sans MT" w:asciiTheme="minorHAnsi" w:hAnsiTheme="minorHAnsi" w:cstheme="minorHAnsi"/>
                <w:color w:val="000000" w:themeColor="text1"/>
                <w:sz w:val="22"/>
                <w:szCs w:val="22"/>
              </w:rPr>
              <w:t xml:space="preserve">Improve the outdoor provision including the PEAP programme resources </w:t>
            </w:r>
          </w:p>
        </w:tc>
        <w:tc>
          <w:tcPr>
            <w:tcW w:w="4254" w:type="dxa"/>
          </w:tcPr>
          <w:p w:rsidRPr="00506051" w:rsidR="00966EB1" w:rsidP="005364A8" w:rsidRDefault="000B6530" w14:paraId="68FEB512" w14:textId="5FE84ABD">
            <w:pPr>
              <w:pStyle w:val="TableRowCentered"/>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6530">
              <w:rPr>
                <w:rFonts w:asciiTheme="minorHAnsi" w:hAnsiTheme="minorHAnsi" w:cstheme="minorHAnsi"/>
                <w:sz w:val="22"/>
                <w:szCs w:val="22"/>
              </w:rPr>
              <w:t>Bento and Dias (2017) summarise a body of research that illustrates that play, particularly outdoors, promotes cognitive, physical, social and emotional well being offering the necessary conditions for children to thrive and learn. The outdoor environment in particular can contribute significantly to children’s needs for free play.</w:t>
            </w:r>
          </w:p>
        </w:tc>
        <w:tc>
          <w:tcPr>
            <w:tcW w:w="2544" w:type="dxa"/>
          </w:tcPr>
          <w:p w:rsidRPr="00506051" w:rsidR="00966EB1" w:rsidP="6DCBBDB1" w:rsidRDefault="000B6530" w14:paraId="0E7575B1" w14:textId="636A69CF">
            <w:pPr>
              <w:pStyle w:val="TableRowCente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w:t>
            </w:r>
          </w:p>
        </w:tc>
      </w:tr>
      <w:tr w:rsidR="000B6530" w:rsidTr="00506051" w14:paraId="5EB84A6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8" w:type="dxa"/>
          </w:tcPr>
          <w:p w:rsidR="000B6530" w:rsidP="6DCBBDB1" w:rsidRDefault="00367EBF" w14:paraId="7B9C8E19" w14:textId="1BA5AB21">
            <w:pPr>
              <w:pStyle w:val="TableRow"/>
              <w:rPr>
                <w:rFonts w:eastAsia="Gill Sans MT" w:asciiTheme="minorHAnsi" w:hAnsiTheme="minorHAnsi" w:cstheme="minorHAnsi"/>
                <w:color w:val="000000" w:themeColor="text1"/>
                <w:sz w:val="22"/>
                <w:szCs w:val="22"/>
              </w:rPr>
            </w:pPr>
            <w:r>
              <w:rPr>
                <w:rFonts w:eastAsia="Gill Sans MT" w:asciiTheme="minorHAnsi" w:hAnsiTheme="minorHAnsi" w:cstheme="minorHAnsi"/>
                <w:color w:val="000000" w:themeColor="text1"/>
                <w:sz w:val="22"/>
                <w:szCs w:val="22"/>
              </w:rPr>
              <w:t xml:space="preserve">Continue </w:t>
            </w:r>
            <w:r w:rsidRPr="00367EBF">
              <w:rPr>
                <w:rFonts w:eastAsia="Gill Sans MT" w:asciiTheme="minorHAnsi" w:hAnsiTheme="minorHAnsi" w:cstheme="minorHAnsi"/>
                <w:color w:val="000000" w:themeColor="text1"/>
                <w:sz w:val="22"/>
                <w:szCs w:val="22"/>
              </w:rPr>
              <w:t>active participation in community traditions (local festivals, parades etc)</w:t>
            </w:r>
          </w:p>
        </w:tc>
        <w:tc>
          <w:tcPr>
            <w:tcW w:w="4254" w:type="dxa"/>
          </w:tcPr>
          <w:p w:rsidRPr="005C0725" w:rsidR="005C0725" w:rsidP="005C0725" w:rsidRDefault="005C0725" w14:paraId="68452AF9" w14:textId="77777777">
            <w:pPr>
              <w:pStyle w:val="TableRowCentered"/>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C0725">
              <w:rPr>
                <w:rFonts w:asciiTheme="minorHAnsi" w:hAnsiTheme="minorHAnsi" w:cstheme="minorHAnsi"/>
                <w:sz w:val="22"/>
                <w:szCs w:val="22"/>
              </w:rPr>
              <w:t>Tramonte and Willms (2010) highlight research that illustrates dynamic cultural</w:t>
            </w:r>
            <w:r>
              <w:rPr>
                <w:rFonts w:asciiTheme="minorHAnsi" w:hAnsiTheme="minorHAnsi" w:cstheme="minorHAnsi"/>
                <w:sz w:val="22"/>
                <w:szCs w:val="22"/>
              </w:rPr>
              <w:t xml:space="preserve"> </w:t>
            </w:r>
            <w:r w:rsidRPr="005C0725">
              <w:rPr>
                <w:rFonts w:asciiTheme="minorHAnsi" w:hAnsiTheme="minorHAnsi" w:cstheme="minorHAnsi"/>
                <w:sz w:val="22"/>
                <w:szCs w:val="22"/>
              </w:rPr>
              <w:t>capital (that enabling cultural interactions)</w:t>
            </w:r>
          </w:p>
          <w:p w:rsidRPr="005C0725" w:rsidR="005C0725" w:rsidP="005C0725" w:rsidRDefault="005C0725" w14:paraId="408E75D0" w14:textId="77777777">
            <w:pPr>
              <w:pStyle w:val="TableRowCentered"/>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C0725">
              <w:rPr>
                <w:rFonts w:asciiTheme="minorHAnsi" w:hAnsiTheme="minorHAnsi" w:cstheme="minorHAnsi"/>
                <w:sz w:val="22"/>
                <w:szCs w:val="22"/>
              </w:rPr>
              <w:t>had positive impact on children’s reading</w:t>
            </w:r>
          </w:p>
          <w:p w:rsidRPr="005C0725" w:rsidR="005C0725" w:rsidP="005C0725" w:rsidRDefault="005C0725" w14:paraId="344A80DC" w14:textId="77777777">
            <w:pPr>
              <w:pStyle w:val="TableRowCentered"/>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C0725">
              <w:rPr>
                <w:rFonts w:asciiTheme="minorHAnsi" w:hAnsiTheme="minorHAnsi" w:cstheme="minorHAnsi"/>
                <w:sz w:val="22"/>
                <w:szCs w:val="22"/>
              </w:rPr>
              <w:t>literacy, sense of belonging at school and</w:t>
            </w:r>
          </w:p>
          <w:p w:rsidRPr="000B6530" w:rsidR="000B6530" w:rsidP="005C0725" w:rsidRDefault="005C0725" w14:paraId="400450F0" w14:textId="293E38A9">
            <w:pPr>
              <w:pStyle w:val="TableRowCentered"/>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C0725">
              <w:rPr>
                <w:rFonts w:asciiTheme="minorHAnsi" w:hAnsiTheme="minorHAnsi" w:cstheme="minorHAnsi"/>
                <w:sz w:val="22"/>
                <w:szCs w:val="22"/>
              </w:rPr>
              <w:t>occupational aspirations.</w:t>
            </w:r>
          </w:p>
        </w:tc>
        <w:tc>
          <w:tcPr>
            <w:tcW w:w="2544" w:type="dxa"/>
          </w:tcPr>
          <w:p w:rsidR="000B6530" w:rsidP="6DCBBDB1" w:rsidRDefault="000B6530" w14:paraId="00A1EAC5" w14:textId="77777777">
            <w:pPr>
              <w:pStyle w:val="TableRowCente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254A9" w:rsidTr="00506051" w14:paraId="648EFA09" w14:textId="77777777">
        <w:trPr>
          <w:trHeight w:val="300"/>
        </w:trPr>
        <w:tc>
          <w:tcPr>
            <w:cnfStyle w:val="001000000000" w:firstRow="0" w:lastRow="0" w:firstColumn="1" w:lastColumn="0" w:oddVBand="0" w:evenVBand="0" w:oddHBand="0" w:evenHBand="0" w:firstRowFirstColumn="0" w:firstRowLastColumn="0" w:lastRowFirstColumn="0" w:lastRowLastColumn="0"/>
            <w:tcW w:w="2688" w:type="dxa"/>
          </w:tcPr>
          <w:p w:rsidR="00C254A9" w:rsidP="6DCBBDB1" w:rsidRDefault="00C254A9" w14:paraId="3F5AA905" w14:textId="2F4A0FCC">
            <w:pPr>
              <w:pStyle w:val="TableRow"/>
              <w:rPr>
                <w:rFonts w:eastAsia="Gill Sans MT" w:asciiTheme="minorHAnsi" w:hAnsiTheme="minorHAnsi" w:cstheme="minorHAnsi"/>
                <w:color w:val="000000" w:themeColor="text1"/>
                <w:sz w:val="22"/>
                <w:szCs w:val="22"/>
              </w:rPr>
            </w:pPr>
            <w:r>
              <w:rPr>
                <w:rFonts w:eastAsia="Gill Sans MT" w:asciiTheme="minorHAnsi" w:hAnsiTheme="minorHAnsi" w:cstheme="minorHAnsi"/>
                <w:color w:val="000000" w:themeColor="text1"/>
                <w:sz w:val="22"/>
                <w:szCs w:val="22"/>
              </w:rPr>
              <w:t xml:space="preserve">Develop parental engagement – to support leaners and families </w:t>
            </w:r>
          </w:p>
        </w:tc>
        <w:tc>
          <w:tcPr>
            <w:tcW w:w="4254" w:type="dxa"/>
          </w:tcPr>
          <w:p w:rsidRPr="005C0725" w:rsidR="00C254A9" w:rsidP="005C0725" w:rsidRDefault="00247D2B" w14:paraId="1412ED5A" w14:textId="5F62944B">
            <w:pPr>
              <w:pStyle w:val="TableRowCentered"/>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Parental Engagement framework </w:t>
            </w:r>
          </w:p>
        </w:tc>
        <w:tc>
          <w:tcPr>
            <w:tcW w:w="2544" w:type="dxa"/>
          </w:tcPr>
          <w:p w:rsidR="00C254A9" w:rsidP="6DCBBDB1" w:rsidRDefault="00C254A9" w14:paraId="35284294" w14:textId="77777777">
            <w:pPr>
              <w:pStyle w:val="TableRowCente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rsidR="00E66558" w:rsidRDefault="00E66558" w14:paraId="2A7D5540" w14:textId="77777777">
      <w:pPr>
        <w:spacing w:before="240" w:after="0"/>
        <w:rPr>
          <w:b/>
          <w:bCs/>
          <w:color w:val="104F75"/>
          <w:sz w:val="28"/>
          <w:szCs w:val="28"/>
        </w:rPr>
      </w:pPr>
    </w:p>
    <w:p w:rsidR="00E66558" w:rsidP="00120AB1" w:rsidRDefault="009D71E8" w14:paraId="2A7D5541" w14:textId="68B5AF30">
      <w:r>
        <w:rPr>
          <w:b/>
          <w:bCs/>
          <w:color w:val="104F75"/>
          <w:sz w:val="28"/>
          <w:szCs w:val="28"/>
        </w:rPr>
        <w:t>Total budgeted cost: £</w:t>
      </w:r>
      <w:r w:rsidR="00B50E18">
        <w:rPr>
          <w:b/>
          <w:bCs/>
          <w:color w:val="104F75"/>
          <w:sz w:val="28"/>
          <w:szCs w:val="28"/>
        </w:rPr>
        <w:t>103 801</w:t>
      </w:r>
    </w:p>
    <w:p w:rsidRPr="00064366" w:rsidR="00E66558" w:rsidP="00064366" w:rsidRDefault="009D71E8" w14:paraId="2A7D5542" w14:textId="18352EC3">
      <w:pPr>
        <w:pStyle w:val="Heading1"/>
      </w:pPr>
      <w:r w:rsidRPr="00064366">
        <w:t>Part B: Review of the previous academic year</w:t>
      </w:r>
    </w:p>
    <w:p w:rsidR="008B6404" w:rsidP="00173D4C" w:rsidRDefault="00064366" w14:paraId="751285B7" w14:textId="72ACB452">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5726C435"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4167B" w:rsidP="00242093" w:rsidRDefault="00611187" w14:paraId="2FCCEE69" w14:textId="77777777">
            <w:pPr>
              <w:spacing w:before="60"/>
              <w:rPr>
                <w:rFonts w:cs="Arial"/>
                <w:color w:val="000000"/>
              </w:rPr>
            </w:pPr>
            <w:r>
              <w:rPr>
                <w:rFonts w:cs="Arial"/>
                <w:color w:val="000000"/>
              </w:rPr>
              <w:t xml:space="preserve"> EYFS </w:t>
            </w:r>
          </w:p>
          <w:p w:rsidR="00587FE4" w:rsidP="00242093" w:rsidRDefault="00587FE4" w14:paraId="3FD7F8D4" w14:textId="570692AA">
            <w:pPr>
              <w:spacing w:before="60"/>
              <w:rPr>
                <w:rFonts w:cs="Arial"/>
                <w:color w:val="000000"/>
              </w:rPr>
            </w:pPr>
            <w:r>
              <w:rPr>
                <w:rFonts w:cs="Arial"/>
                <w:color w:val="000000"/>
              </w:rPr>
              <w:t xml:space="preserve">ELG </w:t>
            </w:r>
            <w:r w:rsidR="00047653">
              <w:rPr>
                <w:rFonts w:cs="Arial"/>
                <w:color w:val="000000"/>
              </w:rPr>
              <w:t xml:space="preserve"> = 40% of children in receipt of PPG achieved ELG  compared to </w:t>
            </w:r>
            <w:r w:rsidR="005D21EE">
              <w:rPr>
                <w:rFonts w:cs="Arial"/>
                <w:color w:val="000000"/>
              </w:rPr>
              <w:t>88% of children not in receipt of PPG</w:t>
            </w:r>
            <w:r w:rsidR="00AE3131">
              <w:rPr>
                <w:rFonts w:cs="Arial"/>
                <w:color w:val="000000"/>
              </w:rPr>
              <w:t>. Whilst this shows a significant gap, it should be noted that the number of children in receipt of PPG was</w:t>
            </w:r>
            <w:r w:rsidR="00AD03B1">
              <w:rPr>
                <w:rFonts w:cs="Arial"/>
                <w:color w:val="000000"/>
              </w:rPr>
              <w:t xml:space="preserve"> very low, </w:t>
            </w:r>
            <w:r w:rsidR="00A66927">
              <w:rPr>
                <w:rFonts w:cs="Arial"/>
                <w:color w:val="000000"/>
                <w:lang w:eastAsia="en-US"/>
              </w:rPr>
              <w:t xml:space="preserve"> with each child’s mark being 20% of the total.</w:t>
            </w:r>
          </w:p>
          <w:p w:rsidR="00611187" w:rsidP="00242093" w:rsidRDefault="003F7EEE" w14:paraId="0AA52AEF" w14:textId="6655A182">
            <w:pPr>
              <w:spacing w:before="60"/>
              <w:rPr>
                <w:rFonts w:cs="Arial"/>
                <w:color w:val="000000"/>
                <w:lang w:eastAsia="en-US"/>
              </w:rPr>
            </w:pPr>
            <w:r>
              <w:rPr>
                <w:rFonts w:cs="Arial"/>
                <w:color w:val="000000"/>
                <w:lang w:eastAsia="en-US"/>
              </w:rPr>
              <w:t xml:space="preserve">PSC: </w:t>
            </w:r>
          </w:p>
          <w:p w:rsidR="003F7EEE" w:rsidP="00242093" w:rsidRDefault="003F7EEE" w14:paraId="7516EA3B" w14:textId="200924FB">
            <w:pPr>
              <w:spacing w:before="60"/>
              <w:rPr>
                <w:rFonts w:cs="Arial"/>
                <w:color w:val="000000"/>
                <w:lang w:eastAsia="en-US"/>
              </w:rPr>
            </w:pPr>
            <w:r>
              <w:rPr>
                <w:rFonts w:cs="Arial"/>
                <w:color w:val="000000"/>
                <w:lang w:eastAsia="en-US"/>
              </w:rPr>
              <w:t xml:space="preserve">@ Y1 40% of pupils in receipt of PPG achieved </w:t>
            </w:r>
            <w:r w:rsidR="00E64747">
              <w:rPr>
                <w:rFonts w:cs="Arial"/>
                <w:color w:val="000000"/>
                <w:lang w:eastAsia="en-US"/>
              </w:rPr>
              <w:t>32+ marks at PCS</w:t>
            </w:r>
            <w:r w:rsidR="001D3926">
              <w:rPr>
                <w:rFonts w:cs="Arial"/>
                <w:color w:val="000000"/>
                <w:lang w:eastAsia="en-US"/>
              </w:rPr>
              <w:t xml:space="preserve"> compared to </w:t>
            </w:r>
            <w:r w:rsidR="00EB63A0">
              <w:rPr>
                <w:rFonts w:cs="Arial"/>
                <w:color w:val="000000"/>
                <w:lang w:eastAsia="en-US"/>
              </w:rPr>
              <w:t xml:space="preserve">87.2% of children not in receipt of PPG. </w:t>
            </w:r>
            <w:r w:rsidR="00E64747">
              <w:rPr>
                <w:rFonts w:cs="Arial"/>
                <w:color w:val="000000"/>
                <w:lang w:eastAsia="en-US"/>
              </w:rPr>
              <w:t>This group where low in number with each child</w:t>
            </w:r>
            <w:r w:rsidR="00A66927">
              <w:rPr>
                <w:rFonts w:cs="Arial"/>
                <w:color w:val="000000"/>
                <w:lang w:eastAsia="en-US"/>
              </w:rPr>
              <w:t>’s mark</w:t>
            </w:r>
            <w:r w:rsidR="00E64747">
              <w:rPr>
                <w:rFonts w:cs="Arial"/>
                <w:color w:val="000000"/>
                <w:lang w:eastAsia="en-US"/>
              </w:rPr>
              <w:t xml:space="preserve"> b</w:t>
            </w:r>
            <w:r w:rsidR="00A66927">
              <w:rPr>
                <w:rFonts w:cs="Arial"/>
                <w:color w:val="000000"/>
                <w:lang w:eastAsia="en-US"/>
              </w:rPr>
              <w:t xml:space="preserve">eing 20% of the total. </w:t>
            </w:r>
          </w:p>
          <w:p w:rsidR="00901C69" w:rsidP="00242093" w:rsidRDefault="00492665" w14:paraId="76278DB2" w14:textId="77777777">
            <w:pPr>
              <w:spacing w:before="60"/>
              <w:rPr>
                <w:rFonts w:cs="Arial"/>
                <w:color w:val="000000"/>
                <w:lang w:eastAsia="en-US"/>
              </w:rPr>
            </w:pPr>
            <w:r>
              <w:rPr>
                <w:rFonts w:cs="Arial"/>
                <w:color w:val="000000"/>
                <w:lang w:eastAsia="en-US"/>
              </w:rPr>
              <w:t xml:space="preserve">@Y2 </w:t>
            </w:r>
            <w:r w:rsidR="00C00729">
              <w:rPr>
                <w:rFonts w:cs="Arial"/>
                <w:color w:val="000000"/>
                <w:lang w:eastAsia="en-US"/>
              </w:rPr>
              <w:t xml:space="preserve">66.7% of pupils in receipt of PPG achieved 32+ marks at PSC retake, compared to 89% of children not in receipt of PPG. This group where low in number with each child’s mark being </w:t>
            </w:r>
            <w:r w:rsidR="00D82ED4">
              <w:rPr>
                <w:rFonts w:cs="Arial"/>
                <w:color w:val="000000"/>
                <w:lang w:eastAsia="en-US"/>
              </w:rPr>
              <w:t>33.3</w:t>
            </w:r>
            <w:r w:rsidR="00C00729">
              <w:rPr>
                <w:rFonts w:cs="Arial"/>
                <w:color w:val="000000"/>
                <w:lang w:eastAsia="en-US"/>
              </w:rPr>
              <w:t>% of the total.</w:t>
            </w:r>
          </w:p>
          <w:p w:rsidR="00523081" w:rsidP="00242093" w:rsidRDefault="00523081" w14:paraId="355CAD9D" w14:textId="792AB325">
            <w:pPr>
              <w:spacing w:before="60"/>
              <w:rPr>
                <w:rFonts w:cs="Arial"/>
                <w:color w:val="000000"/>
                <w:lang w:eastAsia="en-US"/>
              </w:rPr>
            </w:pPr>
            <w:r>
              <w:rPr>
                <w:rFonts w:cs="Arial"/>
                <w:color w:val="000000"/>
                <w:lang w:eastAsia="en-US"/>
              </w:rPr>
              <w:t xml:space="preserve">KS2 </w:t>
            </w:r>
          </w:p>
          <w:p w:rsidR="00611187" w:rsidP="00242093" w:rsidRDefault="00C3305D" w14:paraId="54505A7C" w14:textId="782FFD16">
            <w:pPr>
              <w:spacing w:before="60"/>
              <w:rPr>
                <w:rFonts w:cs="Arial"/>
                <w:color w:val="000000"/>
                <w:lang w:eastAsia="en-US"/>
              </w:rPr>
            </w:pPr>
            <w:r>
              <w:rPr>
                <w:rFonts w:cs="Arial"/>
                <w:color w:val="000000"/>
                <w:lang w:eastAsia="en-US"/>
              </w:rPr>
              <w:t xml:space="preserve">Reading </w:t>
            </w:r>
            <w:r w:rsidR="00F31CE5">
              <w:rPr>
                <w:rFonts w:cs="Arial"/>
                <w:color w:val="000000"/>
                <w:lang w:eastAsia="en-US"/>
              </w:rPr>
              <w:t xml:space="preserve">= 66.7% of pupils in receipt of PPG achieved EXS(+) at KS 2 SATS compared to </w:t>
            </w:r>
            <w:r w:rsidR="004354F3">
              <w:rPr>
                <w:rFonts w:cs="Arial"/>
                <w:color w:val="000000"/>
                <w:lang w:eastAsia="en-US"/>
              </w:rPr>
              <w:t>7</w:t>
            </w:r>
            <w:r w:rsidR="00011E6A">
              <w:rPr>
                <w:rFonts w:cs="Arial"/>
                <w:color w:val="000000"/>
                <w:lang w:eastAsia="en-US"/>
              </w:rPr>
              <w:t>2</w:t>
            </w:r>
            <w:r w:rsidR="004354F3">
              <w:rPr>
                <w:rFonts w:cs="Arial"/>
                <w:color w:val="000000"/>
                <w:lang w:eastAsia="en-US"/>
              </w:rPr>
              <w:t xml:space="preserve">% of pupils not in receipt of PPG </w:t>
            </w:r>
          </w:p>
          <w:p w:rsidR="004354F3" w:rsidP="00242093" w:rsidRDefault="004354F3" w14:paraId="193C1159" w14:textId="5E7DAFF0">
            <w:pPr>
              <w:spacing w:before="60"/>
              <w:rPr>
                <w:rFonts w:cs="Arial"/>
                <w:color w:val="000000"/>
                <w:lang w:eastAsia="en-US"/>
              </w:rPr>
            </w:pPr>
            <w:r>
              <w:rPr>
                <w:rFonts w:cs="Arial"/>
                <w:color w:val="000000"/>
                <w:lang w:eastAsia="en-US"/>
              </w:rPr>
              <w:t>Maths = 44% of pupils in receipt of PPG achieved EXS (+) in comparison to 7</w:t>
            </w:r>
            <w:r w:rsidR="00011E6A">
              <w:rPr>
                <w:rFonts w:cs="Arial"/>
                <w:color w:val="000000"/>
                <w:lang w:eastAsia="en-US"/>
              </w:rPr>
              <w:t>3.8</w:t>
            </w:r>
            <w:r>
              <w:rPr>
                <w:rFonts w:cs="Arial"/>
                <w:color w:val="000000"/>
                <w:lang w:eastAsia="en-US"/>
              </w:rPr>
              <w:t xml:space="preserve">% of pupils not in receipt of this grant. </w:t>
            </w:r>
          </w:p>
          <w:p w:rsidR="00901C69" w:rsidP="00242093" w:rsidRDefault="004354F3" w14:paraId="4847C73E" w14:textId="76775474">
            <w:pPr>
              <w:spacing w:before="60"/>
              <w:rPr>
                <w:rFonts w:cs="Arial"/>
                <w:color w:val="000000"/>
                <w:lang w:eastAsia="en-US"/>
              </w:rPr>
            </w:pPr>
            <w:r>
              <w:rPr>
                <w:rFonts w:cs="Arial"/>
                <w:color w:val="000000"/>
                <w:lang w:eastAsia="en-US"/>
              </w:rPr>
              <w:t xml:space="preserve">Writing </w:t>
            </w:r>
            <w:r w:rsidR="00901C69">
              <w:rPr>
                <w:rFonts w:cs="Arial"/>
                <w:color w:val="000000"/>
                <w:lang w:eastAsia="en-US"/>
              </w:rPr>
              <w:t xml:space="preserve"> = </w:t>
            </w:r>
            <w:r w:rsidR="00715F9C">
              <w:rPr>
                <w:rFonts w:cs="Arial"/>
                <w:color w:val="000000"/>
                <w:lang w:eastAsia="en-US"/>
              </w:rPr>
              <w:t>55%</w:t>
            </w:r>
            <w:r w:rsidR="00901C69">
              <w:rPr>
                <w:rFonts w:cs="Arial"/>
                <w:color w:val="000000"/>
                <w:lang w:eastAsia="en-US"/>
              </w:rPr>
              <w:t xml:space="preserve"> of pupils in receipt of PPG achieved EXS (+) in comparison to 73.8% of pupils not in receipt of this grant.</w:t>
            </w:r>
          </w:p>
          <w:p w:rsidR="004C31E2" w:rsidP="00242093" w:rsidRDefault="004C31E2" w14:paraId="612A64B7" w14:textId="15E3BC24">
            <w:pPr>
              <w:spacing w:before="60"/>
              <w:rPr>
                <w:rFonts w:cs="Arial"/>
                <w:color w:val="000000"/>
                <w:lang w:eastAsia="en-US"/>
              </w:rPr>
            </w:pPr>
            <w:r>
              <w:rPr>
                <w:rFonts w:cs="Arial"/>
                <w:color w:val="000000"/>
                <w:lang w:eastAsia="en-US"/>
              </w:rPr>
              <w:t xml:space="preserve">With significant gaps in the attainment of our pupils in receipt of PPG and those not in receipt of PPG, </w:t>
            </w:r>
            <w:r w:rsidR="008D5F7D">
              <w:rPr>
                <w:rFonts w:cs="Arial"/>
                <w:color w:val="000000"/>
                <w:lang w:eastAsia="en-US"/>
              </w:rPr>
              <w:t xml:space="preserve">our focus remains upon the attainment and progress of these children, with interventions in place to support academic and emotional </w:t>
            </w:r>
            <w:r w:rsidR="00CF5928">
              <w:rPr>
                <w:rFonts w:cs="Arial"/>
                <w:color w:val="000000"/>
                <w:lang w:eastAsia="en-US"/>
              </w:rPr>
              <w:t xml:space="preserve">learning. </w:t>
            </w:r>
          </w:p>
          <w:p w:rsidRPr="00611187" w:rsidR="00611187" w:rsidP="00242093" w:rsidRDefault="00611187" w14:paraId="5023926C" w14:textId="76584059">
            <w:pPr>
              <w:spacing w:before="60"/>
              <w:rPr>
                <w:lang w:eastAsia="en-US"/>
              </w:rPr>
            </w:pPr>
          </w:p>
        </w:tc>
      </w:tr>
    </w:tbl>
    <w:p w:rsidR="00E66558" w:rsidP="00A82A98" w:rsidRDefault="006D6372" w14:paraId="2A7D5548" w14:textId="0199D85C">
      <w:pPr>
        <w:pStyle w:val="Heading2"/>
      </w:pPr>
      <w:r>
        <w:t>E</w:t>
      </w:r>
      <w:r w:rsidR="009D71E8">
        <w:t xml:space="preserve">xternally provided </w:t>
      </w:r>
      <w:r w:rsidRPr="00781713" w:rsidR="009D71E8">
        <w:t>programmes</w:t>
      </w:r>
    </w:p>
    <w:p w:rsidR="00E66558" w:rsidP="07FFD3D3" w:rsidRDefault="0B240EAF" w14:paraId="2A7D5549" w14:textId="1DAEF3DE">
      <w:pPr>
        <w:rPr>
          <w:i/>
          <w:iCs/>
        </w:rPr>
      </w:pPr>
      <w:r w:rsidRPr="07FFD3D3">
        <w:rPr>
          <w:i/>
          <w:iCs/>
        </w:rPr>
        <w:t xml:space="preserve">Please include the names of any non-DfE programmes that you </w:t>
      </w:r>
      <w:r w:rsidRPr="07FFD3D3" w:rsidR="491E3A64">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Tr="00CA4421"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E716B" w14:paraId="2A7D554D" w14:textId="0215AE5A">
            <w:pPr>
              <w:pStyle w:val="TableRow"/>
            </w:pPr>
            <w:r>
              <w:t xml:space="preserve">Accelerated read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73A42" w14:paraId="2A7D554E" w14:textId="2C966634">
            <w:pPr>
              <w:pStyle w:val="TableRowCentered"/>
              <w:jc w:val="left"/>
            </w:pPr>
            <w:r>
              <w:t xml:space="preserve">REN Learn </w:t>
            </w: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673A42" w14:paraId="2A7D5550" w14:textId="48AB90D8">
            <w:pPr>
              <w:pStyle w:val="TableRow"/>
            </w:pPr>
            <w:r>
              <w:t>Maths Whizz</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823F4D" w14:paraId="2A7D5551" w14:textId="122C9B42">
            <w:pPr>
              <w:pStyle w:val="TableRowCentered"/>
              <w:jc w:val="left"/>
            </w:pPr>
            <w:r>
              <w:t xml:space="preserve">Our People </w:t>
            </w:r>
          </w:p>
        </w:tc>
      </w:tr>
      <w:tr w:rsidR="00B046DF" w14:paraId="2233BB44"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046DF" w:rsidRDefault="00B046DF" w14:paraId="49E91D44" w14:textId="3D2EA013">
            <w:pPr>
              <w:pStyle w:val="TableRow"/>
            </w:pPr>
            <w:r>
              <w:t xml:space="preserve">Little Wandle/ Read Write Inc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046DF" w:rsidRDefault="00823F4D" w14:paraId="0F148B61" w14:textId="2888DAC0">
            <w:pPr>
              <w:pStyle w:val="TableRowCentered"/>
              <w:jc w:val="left"/>
            </w:pPr>
            <w:r>
              <w:t>Ruth Miskin</w:t>
            </w:r>
          </w:p>
        </w:tc>
      </w:tr>
      <w:tr w:rsidR="008C6EB3" w14:paraId="0A807313"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C6EB3" w:rsidRDefault="008C6EB3" w14:paraId="057B2DC4" w14:textId="3196541A">
            <w:pPr>
              <w:pStyle w:val="TableRow"/>
            </w:pPr>
            <w:r>
              <w:t>Kapow</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C6EB3" w:rsidRDefault="00A20E9C" w14:paraId="6197756B" w14:textId="2042E47E">
            <w:pPr>
              <w:pStyle w:val="TableRowCentered"/>
              <w:jc w:val="left"/>
            </w:pPr>
            <w:r>
              <w:t>Kapow</w:t>
            </w:r>
            <w:r>
              <w:t xml:space="preserve"> Primary Company </w:t>
            </w:r>
          </w:p>
        </w:tc>
      </w:tr>
      <w:tr w:rsidR="008C6EB3" w14:paraId="4088DC5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C6EB3" w:rsidRDefault="006444B2" w14:paraId="24619454" w14:textId="4D4D8C97">
            <w:pPr>
              <w:pStyle w:val="TableRow"/>
            </w:pPr>
            <w:r>
              <w:t>Kwenick Kernow  - RE</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C6EB3" w:rsidRDefault="00A20E9C" w14:paraId="4E843242" w14:textId="7AFEC69E">
            <w:pPr>
              <w:pStyle w:val="TableRowCentered"/>
              <w:jc w:val="left"/>
            </w:pPr>
            <w:r>
              <w:t>CC</w:t>
            </w:r>
          </w:p>
        </w:tc>
      </w:tr>
      <w:tr w:rsidR="006444B2" w14:paraId="225015A7"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444B2" w:rsidRDefault="006444B2" w14:paraId="05A2C1FF" w14:textId="2AB551D9">
            <w:pPr>
              <w:pStyle w:val="TableRow"/>
            </w:pPr>
            <w:r>
              <w:t xml:space="preserve">Mastering Number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444B2" w:rsidRDefault="00A20E9C" w14:paraId="4FF91965" w14:textId="3DDDDCCE">
            <w:pPr>
              <w:pStyle w:val="TableRowCentered"/>
              <w:jc w:val="left"/>
            </w:pPr>
            <w:r>
              <w:t>NCTEM</w:t>
            </w:r>
          </w:p>
        </w:tc>
      </w:tr>
      <w:tr w:rsidR="006444B2" w14:paraId="68C252BC"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444B2" w:rsidRDefault="006444B2" w14:paraId="31207A00" w14:textId="66B8003D">
            <w:pPr>
              <w:pStyle w:val="TableRow"/>
            </w:pPr>
            <w:r>
              <w:t xml:space="preserve">ParentPay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444B2" w:rsidRDefault="00457360" w14:paraId="45F52612" w14:textId="69BB8E62">
            <w:pPr>
              <w:pStyle w:val="TableRowCentered"/>
              <w:jc w:val="left"/>
            </w:pPr>
            <w:r>
              <w:t>ParentPay</w:t>
            </w:r>
          </w:p>
        </w:tc>
      </w:tr>
      <w:tr w:rsidR="006444B2" w14:paraId="335947BD"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444B2" w:rsidRDefault="006444B2" w14:paraId="06392962" w14:textId="7FDBA7FC">
            <w:pPr>
              <w:pStyle w:val="TableRow"/>
            </w:pPr>
            <w:r>
              <w:t xml:space="preserve">White Rose Maths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444B2" w:rsidRDefault="00457360" w14:paraId="59F5520B" w14:textId="1CE73775">
            <w:pPr>
              <w:pStyle w:val="TableRowCentered"/>
              <w:jc w:val="left"/>
            </w:pPr>
            <w:r>
              <w:t>White Rose Maths</w:t>
            </w:r>
          </w:p>
        </w:tc>
      </w:tr>
      <w:tr w:rsidR="006444B2" w14:paraId="4F26D0D1"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444B2" w:rsidRDefault="00D807FE" w14:paraId="247DAB84" w14:textId="19F02472">
            <w:pPr>
              <w:pStyle w:val="TableRow"/>
            </w:pPr>
            <w:r>
              <w:t>1 Decision</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6444B2" w:rsidRDefault="007113F6" w14:paraId="0429B58F" w14:textId="510D32CE">
            <w:pPr>
              <w:pStyle w:val="TableRowCentered"/>
              <w:jc w:val="left"/>
            </w:pPr>
            <w:r>
              <w:t>1 Decision</w:t>
            </w:r>
          </w:p>
        </w:tc>
      </w:tr>
      <w:tr w:rsidR="00D807FE" w14:paraId="0A7F2D3B"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807FE" w:rsidRDefault="00D807FE" w14:paraId="46B889FF" w14:textId="520AEA11">
            <w:pPr>
              <w:pStyle w:val="TableRow"/>
            </w:pPr>
            <w:r>
              <w:t>Spell Shed</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807FE" w:rsidRDefault="007113F6" w14:paraId="3092CAEA" w14:textId="1401716C">
            <w:pPr>
              <w:pStyle w:val="TableRowCentered"/>
              <w:jc w:val="left"/>
            </w:pPr>
            <w:r>
              <w:t>Literacy Shed</w:t>
            </w:r>
          </w:p>
        </w:tc>
      </w:tr>
      <w:tr w:rsidR="00D807FE" w14:paraId="21C68CA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807FE" w:rsidRDefault="00D807FE" w14:paraId="215847F4" w14:textId="736F53DD">
            <w:pPr>
              <w:pStyle w:val="TableRow"/>
            </w:pPr>
            <w:r>
              <w:t xml:space="preserve">TT Rockstars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807FE" w:rsidRDefault="00345A76" w14:paraId="52CD1C61" w14:textId="6AADF8C0">
            <w:pPr>
              <w:pStyle w:val="TableRowCentered"/>
              <w:jc w:val="left"/>
            </w:pPr>
            <w:r>
              <w:t>TTRS</w:t>
            </w:r>
          </w:p>
        </w:tc>
      </w:tr>
    </w:tbl>
    <w:p w:rsidR="00E66558" w:rsidP="0008384B" w:rsidRDefault="00E66558" w14:paraId="2A7D5553" w14:textId="193B71B2"/>
    <w:p w:rsidR="0008384B" w:rsidP="0008384B" w:rsidRDefault="0008384B" w14:paraId="188578FB" w14:textId="537EFB51"/>
    <w:p w:rsidR="0008384B" w:rsidP="0008384B" w:rsidRDefault="0008384B" w14:paraId="497C2CDD" w14:textId="3BD1FD57"/>
    <w:p w:rsidR="0008384B" w:rsidP="0008384B" w:rsidRDefault="0008384B" w14:paraId="01F0D165" w14:textId="1FC4C866"/>
    <w:p w:rsidRPr="0008384B" w:rsidR="0008384B" w:rsidP="0008384B" w:rsidRDefault="0008384B" w14:paraId="540A892B" w14:textId="3B30AD65">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rsidTr="58C6B69B" w14:paraId="60D4B166" w14:textId="77777777">
        <w:tc>
          <w:tcPr>
            <w:tcW w:w="9486" w:type="dxa"/>
            <w:shd w:val="clear" w:color="auto" w:fill="CFDCE3"/>
            <w:tcMar/>
          </w:tcPr>
          <w:p w:rsidRPr="00E86F05" w:rsidR="00ED5108" w:rsidP="00ED5108" w:rsidRDefault="009D71E8" w14:paraId="4641AE9E" w14:textId="2758D317">
            <w:pPr>
              <w:spacing w:before="60" w:after="60"/>
              <w:rPr>
                <w:b/>
                <w:bCs/>
              </w:rPr>
            </w:pPr>
            <w:r>
              <w:rPr>
                <w:i/>
                <w:iCs/>
              </w:rPr>
              <w:t xml:space="preserve">For schools that receive this funding, you may wish to provide the following information: </w:t>
            </w:r>
            <w:r w:rsidRPr="00E86F05" w:rsidR="00ED5108">
              <w:rPr>
                <w:b/>
                <w:bCs/>
                <w:color w:val="000000"/>
                <w:szCs w:val="28"/>
              </w:rPr>
              <w:t>How our service pupil premium allocation was spent last academic year</w:t>
            </w:r>
          </w:p>
        </w:tc>
      </w:tr>
      <w:tr w:rsidR="00ED5108" w:rsidTr="58C6B69B" w14:paraId="3EA0D00B" w14:textId="77777777">
        <w:tc>
          <w:tcPr>
            <w:tcW w:w="9486" w:type="dxa"/>
            <w:tcMar/>
          </w:tcPr>
          <w:p w:rsidRPr="005C348E" w:rsidR="005C348E" w:rsidP="58C6B69B" w:rsidRDefault="005C348E" w14:paraId="4C95389C" w14:textId="6315547A">
            <w:pPr>
              <w:ind w:left="0"/>
            </w:pPr>
            <w:r w:rsidR="79965F3B">
              <w:rPr/>
              <w:t>PPG Service Element Income</w:t>
            </w:r>
            <w:r>
              <w:tab/>
            </w:r>
            <w:r w:rsidR="79965F3B">
              <w:rPr/>
              <w:t>£36,040</w:t>
            </w:r>
            <w:r>
              <w:tab/>
            </w:r>
            <w:r w:rsidR="79965F3B">
              <w:rPr/>
              <w:t>106  pupils</w:t>
            </w:r>
            <w:r w:rsidR="79965F3B">
              <w:rPr/>
              <w:t xml:space="preserve"> at £340 each</w:t>
            </w:r>
          </w:p>
          <w:p w:rsidR="005C348E" w:rsidP="58C6B69B" w:rsidRDefault="005C348E" w14:paraId="00947F4D" w14:textId="77777777">
            <w:pPr>
              <w:pStyle w:val="ListParagraph"/>
              <w:rPr/>
            </w:pPr>
            <w:r w:rsidR="79965F3B">
              <w:rPr/>
              <w:t xml:space="preserve">HLTA support for Social, Emotional and Mental </w:t>
            </w:r>
            <w:r w:rsidR="79965F3B">
              <w:rPr/>
              <w:t>Health :</w:t>
            </w:r>
            <w:r w:rsidR="79965F3B">
              <w:rPr/>
              <w:t xml:space="preserve"> £</w:t>
            </w:r>
            <w:r w:rsidR="79965F3B">
              <w:rPr/>
              <w:t>4,716  (</w:t>
            </w:r>
            <w:r w:rsidR="79965F3B">
              <w:rPr/>
              <w:t xml:space="preserve">inc. employers on-costs) </w:t>
            </w:r>
          </w:p>
          <w:p w:rsidR="005C348E" w:rsidP="58C6B69B" w:rsidRDefault="005C348E" w14:paraId="1ED116EA" w14:textId="77777777">
            <w:pPr>
              <w:pStyle w:val="ListParagraph"/>
              <w:rPr/>
            </w:pPr>
            <w:r w:rsidR="79965F3B">
              <w:rPr/>
              <w:t xml:space="preserve">TA support for Social, Emotional and Mental Health: £11,326 (inc. employers on-costs) </w:t>
            </w:r>
          </w:p>
          <w:p w:rsidR="005C348E" w:rsidP="58C6B69B" w:rsidRDefault="005C348E" w14:paraId="4C7EA512" w14:textId="77777777">
            <w:pPr>
              <w:pStyle w:val="ListParagraph"/>
              <w:rPr/>
            </w:pPr>
            <w:r w:rsidR="79965F3B">
              <w:rPr/>
              <w:t xml:space="preserve">TA support for academic input: £8,220 (inc. employers on-costs) </w:t>
            </w:r>
          </w:p>
          <w:p w:rsidR="005C348E" w:rsidP="58C6B69B" w:rsidRDefault="005C348E" w14:paraId="66CA1AEE" w14:textId="77777777">
            <w:pPr>
              <w:pStyle w:val="ListParagraph"/>
              <w:rPr/>
            </w:pPr>
            <w:r w:rsidR="79965F3B">
              <w:rPr/>
              <w:t xml:space="preserve">Specialist behaviour support: £1,800 </w:t>
            </w:r>
          </w:p>
          <w:p w:rsidR="005C348E" w:rsidP="58C6B69B" w:rsidRDefault="005C348E" w14:paraId="7FD1B266" w14:textId="223A20FE">
            <w:pPr>
              <w:pStyle w:val="ListParagraph"/>
              <w:rPr/>
            </w:pPr>
            <w:r w:rsidR="79965F3B">
              <w:rPr/>
              <w:t>Termly meet and greets</w:t>
            </w:r>
            <w:r w:rsidR="5DBD68EA">
              <w:rPr/>
              <w:t xml:space="preserve"> </w:t>
            </w:r>
            <w:r w:rsidR="79965F3B">
              <w:rPr/>
              <w:t xml:space="preserve">£516 (inc. employers on-costs) </w:t>
            </w:r>
          </w:p>
          <w:p w:rsidR="005C348E" w:rsidP="58C6B69B" w:rsidRDefault="005C348E" w14:paraId="211F7E47" w14:textId="570A044A">
            <w:pPr>
              <w:pStyle w:val="ListParagraph"/>
              <w:rPr/>
            </w:pPr>
            <w:r w:rsidR="79965F3B">
              <w:rPr/>
              <w:t>Sundry resources: £1500 Minibus training</w:t>
            </w:r>
          </w:p>
          <w:p w:rsidR="005C348E" w:rsidP="58C6B69B" w:rsidRDefault="005C348E" w14:paraId="20C1AD5C" w14:textId="77777777">
            <w:pPr>
              <w:pStyle w:val="ListParagraph"/>
              <w:rPr/>
            </w:pPr>
            <w:r w:rsidR="79965F3B">
              <w:rPr/>
              <w:t xml:space="preserve">£250 (2x members of staff) </w:t>
            </w:r>
          </w:p>
          <w:p w:rsidR="00ED5108" w:rsidP="58C6B69B" w:rsidRDefault="00ED5108" w14:paraId="629F1403" w14:textId="31D48227">
            <w:pPr>
              <w:pStyle w:val="ListParagraph"/>
              <w:rPr/>
            </w:pPr>
            <w:r w:rsidR="79965F3B">
              <w:rPr/>
              <w:t>Minibus hire: £</w:t>
            </w:r>
            <w:r w:rsidR="5DBD68EA">
              <w:rPr/>
              <w:t>250</w:t>
            </w:r>
            <w:r w:rsidR="79965F3B">
              <w:rPr/>
              <w:t xml:space="preserve"> (allowing for </w:t>
            </w:r>
            <w:r w:rsidR="79965F3B">
              <w:rPr/>
              <w:t>1</w:t>
            </w:r>
            <w:r w:rsidR="79965F3B">
              <w:rPr/>
              <w:t>x hires to Culdrose events)</w:t>
            </w:r>
          </w:p>
          <w:p w:rsidR="00ED5108" w:rsidP="58C6B69B" w:rsidRDefault="00ED5108" w14:paraId="5AA67344" w14:textId="40C65411">
            <w:pPr>
              <w:pStyle w:val="Normal"/>
            </w:pPr>
          </w:p>
        </w:tc>
      </w:tr>
      <w:tr w:rsidR="00ED5108" w:rsidTr="58C6B69B" w14:paraId="2D016C33" w14:textId="77777777">
        <w:tc>
          <w:tcPr>
            <w:tcW w:w="9486" w:type="dxa"/>
            <w:shd w:val="clear" w:color="auto" w:fill="CFDCE3"/>
            <w:tcMar/>
          </w:tcPr>
          <w:p w:rsidRPr="00E86F05" w:rsidR="00ED5108" w:rsidP="00ED5108" w:rsidRDefault="00ED5108" w14:paraId="3A5A15C1" w14:textId="789D6271">
            <w:pPr>
              <w:spacing w:before="60" w:after="60"/>
              <w:rPr>
                <w:b/>
                <w:bCs/>
              </w:rPr>
            </w:pPr>
            <w:r w:rsidRPr="00E86F05">
              <w:rPr>
                <w:b/>
                <w:bCs/>
                <w:color w:val="000000"/>
                <w:szCs w:val="28"/>
              </w:rPr>
              <w:t>The impact of that spending on service pupil premium eligible pupils</w:t>
            </w:r>
          </w:p>
        </w:tc>
      </w:tr>
      <w:tr w:rsidR="00ED5108" w:rsidTr="58C6B69B" w14:paraId="703D7ACC" w14:textId="77777777">
        <w:tc>
          <w:tcPr>
            <w:tcW w:w="9486" w:type="dxa"/>
            <w:tcMar/>
          </w:tcPr>
          <w:p w:rsidR="00ED5108" w:rsidP="00222887" w:rsidRDefault="00B50E18" w14:paraId="62DB97C7" w14:textId="77777777">
            <w:pPr>
              <w:pStyle w:val="ListParagraph"/>
              <w:numPr>
                <w:ilvl w:val="0"/>
                <w:numId w:val="18"/>
              </w:numPr>
            </w:pPr>
            <w:r>
              <w:t xml:space="preserve">Pupils are supported </w:t>
            </w:r>
            <w:r w:rsidR="00BB19A8">
              <w:t xml:space="preserve">when parent/s are deployed. </w:t>
            </w:r>
          </w:p>
          <w:p w:rsidR="00BB19A8" w:rsidP="00222887" w:rsidRDefault="00BB19A8" w14:paraId="50AC695C" w14:textId="77777777">
            <w:pPr>
              <w:pStyle w:val="ListParagraph"/>
              <w:numPr>
                <w:ilvl w:val="0"/>
                <w:numId w:val="18"/>
              </w:numPr>
            </w:pPr>
            <w:r>
              <w:t xml:space="preserve">Children </w:t>
            </w:r>
            <w:r w:rsidR="00B80D36">
              <w:t xml:space="preserve">are able to </w:t>
            </w:r>
            <w:r w:rsidR="00AB749A">
              <w:t xml:space="preserve">engage in learning because of the </w:t>
            </w:r>
            <w:r w:rsidR="009E4239">
              <w:t xml:space="preserve">SEMH </w:t>
            </w:r>
            <w:r w:rsidR="001B5F11">
              <w:t xml:space="preserve">support provided during deployment inc pre and post deployment. </w:t>
            </w:r>
          </w:p>
          <w:p w:rsidR="001B5F11" w:rsidP="00222887" w:rsidRDefault="001B5F11" w14:paraId="0D3C7A19" w14:textId="2865A167">
            <w:pPr>
              <w:pStyle w:val="ListParagraph"/>
              <w:numPr>
                <w:ilvl w:val="0"/>
                <w:numId w:val="18"/>
              </w:numPr>
            </w:pPr>
            <w:r>
              <w:t>Individuals have received more bespoke support in terms of emotional regulation</w:t>
            </w:r>
            <w:r w:rsidR="00DB5849">
              <w:t>, this al</w:t>
            </w:r>
            <w:r w:rsidR="00F74F49">
              <w:t>low</w:t>
            </w:r>
            <w:r w:rsidR="00DB5849">
              <w:t xml:space="preserve">s them to re-engage with learning. </w:t>
            </w:r>
          </w:p>
          <w:p w:rsidR="005A1D01" w:rsidP="00222887" w:rsidRDefault="00DB5849" w14:paraId="772A130D" w14:textId="77777777">
            <w:pPr>
              <w:pStyle w:val="ListParagraph"/>
              <w:numPr>
                <w:ilvl w:val="0"/>
                <w:numId w:val="18"/>
              </w:numPr>
            </w:pPr>
            <w:r>
              <w:t>Families are brought together to build supportive relationships</w:t>
            </w:r>
            <w:r w:rsidR="00F74F49">
              <w:t>, to support one anothe</w:t>
            </w:r>
            <w:r w:rsidR="004D74D3">
              <w:t>r – school facilitates these opportunities.</w:t>
            </w:r>
          </w:p>
          <w:p w:rsidR="004D74D3" w:rsidP="00222887" w:rsidRDefault="005A1D01" w14:paraId="5CD55C45" w14:textId="77777777">
            <w:pPr>
              <w:pStyle w:val="ListParagraph"/>
              <w:numPr>
                <w:ilvl w:val="0"/>
                <w:numId w:val="18"/>
              </w:numPr>
            </w:pPr>
            <w:r>
              <w:t xml:space="preserve">Small groups are supported as necessary, to fill gaps and </w:t>
            </w:r>
            <w:r w:rsidR="00FC15A8">
              <w:t xml:space="preserve">make accelerated progress. </w:t>
            </w:r>
          </w:p>
          <w:p w:rsidR="00FC15A8" w:rsidRDefault="00FC15A8" w14:paraId="71A2F123" w14:textId="77777777"/>
          <w:p w:rsidR="00FC15A8" w:rsidRDefault="00FC15A8" w14:paraId="3E0866AC" w14:textId="14A6B91A">
            <w:r>
              <w:t xml:space="preserve">EYFS: </w:t>
            </w:r>
          </w:p>
          <w:p w:rsidR="0000166D" w:rsidRDefault="0000166D" w14:paraId="3477FFAA" w14:textId="12C6B324">
            <w:r>
              <w:t xml:space="preserve">92% Pupils </w:t>
            </w:r>
            <w:r w:rsidR="00D372F6">
              <w:t xml:space="preserve">in receipt of SPPG achieved a Good Level of Development, compared with 84% of pupils not in receipt of this grant. </w:t>
            </w:r>
          </w:p>
          <w:p w:rsidR="00D372F6" w:rsidRDefault="00D372F6" w14:paraId="1ECD0C7B" w14:textId="4AC9D6A5">
            <w:r>
              <w:t>PSC</w:t>
            </w:r>
          </w:p>
          <w:p w:rsidR="00AB3B8B" w:rsidP="00AB3B8B" w:rsidRDefault="00AB3B8B" w14:paraId="1AADC0B3" w14:textId="1E82083D">
            <w:r>
              <w:t xml:space="preserve">In year 1 93% </w:t>
            </w:r>
            <w:r>
              <w:t>Pupils in receipt of SPPG achieved</w:t>
            </w:r>
            <w:r w:rsidR="003B17D3">
              <w:t xml:space="preserve"> the PSC, </w:t>
            </w:r>
            <w:r>
              <w:t xml:space="preserve">compared with </w:t>
            </w:r>
            <w:r w:rsidR="00CE774D">
              <w:t>79</w:t>
            </w:r>
            <w:r>
              <w:t xml:space="preserve">% of pupils not in receipt of this grant. </w:t>
            </w:r>
          </w:p>
          <w:p w:rsidR="00890F19" w:rsidP="00890F19" w:rsidRDefault="00B94A57" w14:paraId="0A76002C" w14:textId="66DC684F">
            <w:r>
              <w:t xml:space="preserve">In year 2 PSC retakes </w:t>
            </w:r>
            <w:r w:rsidR="00890F19">
              <w:t xml:space="preserve">100% </w:t>
            </w:r>
            <w:r w:rsidR="00890F19">
              <w:t xml:space="preserve">Pupils in receipt of SPPG achieved </w:t>
            </w:r>
            <w:r w:rsidR="00890F19">
              <w:t xml:space="preserve">the PSC retake </w:t>
            </w:r>
            <w:r w:rsidR="00890F19">
              <w:t xml:space="preserve"> compared with </w:t>
            </w:r>
            <w:r w:rsidR="009C5256">
              <w:t>60</w:t>
            </w:r>
            <w:r w:rsidR="00890F19">
              <w:t xml:space="preserve">% of pupils not in receipt of this grant. </w:t>
            </w:r>
          </w:p>
          <w:p w:rsidR="00D372F6" w:rsidRDefault="00D372F6" w14:paraId="71BE0FF4" w14:textId="4684449C">
            <w:r>
              <w:t xml:space="preserve">KS2 </w:t>
            </w:r>
          </w:p>
          <w:p w:rsidR="00D372F6" w:rsidRDefault="00D372F6" w14:paraId="17DECA2B" w14:textId="6036FB50">
            <w:r>
              <w:t xml:space="preserve">Reading </w:t>
            </w:r>
          </w:p>
          <w:p w:rsidR="00A13908" w:rsidRDefault="008C54E7" w14:paraId="738FF7AB" w14:textId="46900885">
            <w:r>
              <w:t xml:space="preserve">95% </w:t>
            </w:r>
            <w:r>
              <w:t>Pupils in receipt of SPPG achieved the</w:t>
            </w:r>
            <w:r>
              <w:t xml:space="preserve"> expected standard (+) in KS 2 reading SATS</w:t>
            </w:r>
            <w:r>
              <w:t xml:space="preserve">, compared with </w:t>
            </w:r>
            <w:r w:rsidR="0075013E">
              <w:t>61</w:t>
            </w:r>
            <w:r>
              <w:t>% of pupils not in receipt of this grant.</w:t>
            </w:r>
          </w:p>
          <w:p w:rsidR="00D372F6" w:rsidRDefault="00D372F6" w14:paraId="0ADABBF0" w14:textId="3ABC1F96">
            <w:r>
              <w:t xml:space="preserve">Writing </w:t>
            </w:r>
          </w:p>
          <w:p w:rsidR="0017417E" w:rsidP="0017417E" w:rsidRDefault="0017417E" w14:paraId="3DBED34C" w14:textId="191B5F7F">
            <w:r>
              <w:t xml:space="preserve">100% </w:t>
            </w:r>
            <w:r>
              <w:t xml:space="preserve">95% Pupils in receipt of SPPG achieved the expected standard (+) in KS 2 </w:t>
            </w:r>
            <w:r>
              <w:t>writin</w:t>
            </w:r>
            <w:r>
              <w:t xml:space="preserve">g SATS, compared with </w:t>
            </w:r>
            <w:r w:rsidR="00222887">
              <w:t>73%</w:t>
            </w:r>
            <w:r>
              <w:t xml:space="preserve"> of pupils not in receipt of this grant.</w:t>
            </w:r>
          </w:p>
          <w:p w:rsidR="0017417E" w:rsidRDefault="0017417E" w14:paraId="3CD0ED78" w14:textId="5CBCE772"/>
          <w:p w:rsidR="00D372F6" w:rsidRDefault="00D372F6" w14:paraId="5377D229" w14:textId="10E0226B">
            <w:r>
              <w:t xml:space="preserve">Maths </w:t>
            </w:r>
          </w:p>
          <w:p w:rsidR="00FC15A8" w:rsidRDefault="00FC15A8" w14:paraId="2AA0A743" w14:textId="4D24D5F2">
            <w:r w:rsidR="5D017DDC">
              <w:rPr/>
              <w:t xml:space="preserve">100% of </w:t>
            </w:r>
            <w:r w:rsidR="5D017DDC">
              <w:rPr/>
              <w:t xml:space="preserve">95% Pupils in receipt of SPPG achieved the expected standard (+) in KS 2 </w:t>
            </w:r>
            <w:r w:rsidR="5D017DDC">
              <w:rPr/>
              <w:t>Maths</w:t>
            </w:r>
            <w:r w:rsidR="5D017DDC">
              <w:rPr/>
              <w:t xml:space="preserve"> SATS, compared with 61% of pupils not in receipt of this grant.</w:t>
            </w:r>
          </w:p>
        </w:tc>
      </w:tr>
    </w:tbl>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A355B" w:rsidR="00E66558" w:rsidRDefault="009D71E8" w14:paraId="2A7D5562" w14:textId="792AC079">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6"/>
      <w:bookmarkEnd w:id="17"/>
      <w:bookmarkEnd w:id="18"/>
    </w:tbl>
    <w:p w:rsidR="00E66558" w:rsidRDefault="00E66558" w14:paraId="2A7D5564" w14:textId="77777777"/>
    <w:sectPr w:rsidR="00E66558">
      <w:headerReference w:type="default" r:id="rId14"/>
      <w:footerReference w:type="default" r:id="rId15"/>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1183" w:rsidRDefault="00FA1183" w14:paraId="51B2D7F1" w14:textId="77777777">
      <w:pPr>
        <w:spacing w:after="0" w:line="240" w:lineRule="auto"/>
      </w:pPr>
      <w:r>
        <w:separator/>
      </w:r>
    </w:p>
  </w:endnote>
  <w:endnote w:type="continuationSeparator" w:id="0">
    <w:p w:rsidR="00FA1183" w:rsidRDefault="00FA1183" w14:paraId="564E082A" w14:textId="77777777">
      <w:pPr>
        <w:spacing w:after="0" w:line="240" w:lineRule="auto"/>
      </w:pPr>
      <w:r>
        <w:continuationSeparator/>
      </w:r>
    </w:p>
  </w:endnote>
  <w:endnote w:type="continuationNotice" w:id="1">
    <w:p w:rsidR="00FA1183" w:rsidRDefault="00FA1183" w14:paraId="22138E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1183" w:rsidRDefault="00FA1183" w14:paraId="78FC4798" w14:textId="77777777">
      <w:pPr>
        <w:spacing w:after="0" w:line="240" w:lineRule="auto"/>
      </w:pPr>
      <w:r>
        <w:separator/>
      </w:r>
    </w:p>
  </w:footnote>
  <w:footnote w:type="continuationSeparator" w:id="0">
    <w:p w:rsidR="00FA1183" w:rsidRDefault="00FA1183" w14:paraId="7D22569E" w14:textId="77777777">
      <w:pPr>
        <w:spacing w:after="0" w:line="240" w:lineRule="auto"/>
      </w:pPr>
      <w:r>
        <w:continuationSeparator/>
      </w:r>
    </w:p>
  </w:footnote>
  <w:footnote w:type="continuationNotice" w:id="1">
    <w:p w:rsidR="00FA1183" w:rsidRDefault="00FA1183" w14:paraId="2BA9BAE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EA" w:rsidRDefault="00C373EA" w14:paraId="2A7D54BC"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r37Db7Q" int2:invalidationBookmarkName="" int2:hashCode="T0OqWHJNnEwKEr" int2:id="gQ7QZEe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15853a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5250A"/>
    <w:multiLevelType w:val="hybridMultilevel"/>
    <w:tmpl w:val="4FDC2C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23109F"/>
    <w:multiLevelType w:val="multilevel"/>
    <w:tmpl w:val="57408D7C"/>
    <w:lvl w:ilvl="0">
      <w:start w:val="1"/>
      <w:numFmt w:val="bullet"/>
      <w:lvlText w:val=""/>
      <w:lvlJc w:val="left"/>
      <w:rPr>
        <w:rFonts w:hint="default"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CD81519"/>
    <w:multiLevelType w:val="multilevel"/>
    <w:tmpl w:val="2F228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B9A51F3"/>
    <w:multiLevelType w:val="multilevel"/>
    <w:tmpl w:val="26DA0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9">
    <w:abstractNumId w:val="18"/>
  </w:num>
  <w:num w:numId="1" w16cid:durableId="94711259">
    <w:abstractNumId w:val="5"/>
  </w:num>
  <w:num w:numId="2" w16cid:durableId="1628730595">
    <w:abstractNumId w:val="2"/>
  </w:num>
  <w:num w:numId="3" w16cid:durableId="497188144">
    <w:abstractNumId w:val="6"/>
  </w:num>
  <w:num w:numId="4" w16cid:durableId="1138914232">
    <w:abstractNumId w:val="8"/>
  </w:num>
  <w:num w:numId="5" w16cid:durableId="857932188">
    <w:abstractNumId w:val="1"/>
  </w:num>
  <w:num w:numId="6" w16cid:durableId="798501009">
    <w:abstractNumId w:val="10"/>
  </w:num>
  <w:num w:numId="7" w16cid:durableId="1210847263">
    <w:abstractNumId w:val="13"/>
  </w:num>
  <w:num w:numId="8" w16cid:durableId="982348153">
    <w:abstractNumId w:val="17"/>
  </w:num>
  <w:num w:numId="9" w16cid:durableId="1529290868">
    <w:abstractNumId w:val="15"/>
  </w:num>
  <w:num w:numId="10" w16cid:durableId="1171066271">
    <w:abstractNumId w:val="14"/>
  </w:num>
  <w:num w:numId="11" w16cid:durableId="1453552857">
    <w:abstractNumId w:val="4"/>
  </w:num>
  <w:num w:numId="12" w16cid:durableId="1812097430">
    <w:abstractNumId w:val="16"/>
  </w:num>
  <w:num w:numId="13" w16cid:durableId="42288650">
    <w:abstractNumId w:val="12"/>
  </w:num>
  <w:num w:numId="14" w16cid:durableId="1721712531">
    <w:abstractNumId w:val="11"/>
  </w:num>
  <w:num w:numId="15" w16cid:durableId="1449859766">
    <w:abstractNumId w:val="9"/>
  </w:num>
  <w:num w:numId="16" w16cid:durableId="272517195">
    <w:abstractNumId w:val="7"/>
  </w:num>
  <w:num w:numId="17" w16cid:durableId="1336149346">
    <w:abstractNumId w:val="3"/>
  </w:num>
  <w:num w:numId="18" w16cid:durableId="71180440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66D"/>
    <w:rsid w:val="00003A45"/>
    <w:rsid w:val="00011E6A"/>
    <w:rsid w:val="00023729"/>
    <w:rsid w:val="000243B4"/>
    <w:rsid w:val="0002530E"/>
    <w:rsid w:val="0002710D"/>
    <w:rsid w:val="00036678"/>
    <w:rsid w:val="000452EB"/>
    <w:rsid w:val="00045603"/>
    <w:rsid w:val="000463AE"/>
    <w:rsid w:val="00047653"/>
    <w:rsid w:val="000507A3"/>
    <w:rsid w:val="00060A62"/>
    <w:rsid w:val="00064366"/>
    <w:rsid w:val="00066B73"/>
    <w:rsid w:val="00071481"/>
    <w:rsid w:val="00075FAE"/>
    <w:rsid w:val="00082F38"/>
    <w:rsid w:val="000837DB"/>
    <w:rsid w:val="0008384B"/>
    <w:rsid w:val="000929EC"/>
    <w:rsid w:val="00093CDE"/>
    <w:rsid w:val="000A1100"/>
    <w:rsid w:val="000A5C58"/>
    <w:rsid w:val="000A6379"/>
    <w:rsid w:val="000B0D49"/>
    <w:rsid w:val="000B203E"/>
    <w:rsid w:val="000B55C4"/>
    <w:rsid w:val="000B6530"/>
    <w:rsid w:val="000D2126"/>
    <w:rsid w:val="000D22B0"/>
    <w:rsid w:val="000D35C9"/>
    <w:rsid w:val="000D520C"/>
    <w:rsid w:val="000D6423"/>
    <w:rsid w:val="000D6596"/>
    <w:rsid w:val="000D6779"/>
    <w:rsid w:val="000E668D"/>
    <w:rsid w:val="000E6DF0"/>
    <w:rsid w:val="000F0866"/>
    <w:rsid w:val="000F3E6E"/>
    <w:rsid w:val="001037CB"/>
    <w:rsid w:val="0010629E"/>
    <w:rsid w:val="00114288"/>
    <w:rsid w:val="00115538"/>
    <w:rsid w:val="00116FA8"/>
    <w:rsid w:val="00120AB1"/>
    <w:rsid w:val="00121D18"/>
    <w:rsid w:val="00123A7F"/>
    <w:rsid w:val="001278D0"/>
    <w:rsid w:val="00127F72"/>
    <w:rsid w:val="001325B1"/>
    <w:rsid w:val="00140646"/>
    <w:rsid w:val="00147A4B"/>
    <w:rsid w:val="00152554"/>
    <w:rsid w:val="00155944"/>
    <w:rsid w:val="001559D7"/>
    <w:rsid w:val="0016523C"/>
    <w:rsid w:val="001671ED"/>
    <w:rsid w:val="00167C1D"/>
    <w:rsid w:val="00170714"/>
    <w:rsid w:val="0017264D"/>
    <w:rsid w:val="001727FA"/>
    <w:rsid w:val="00172B0F"/>
    <w:rsid w:val="00173D4C"/>
    <w:rsid w:val="0017417E"/>
    <w:rsid w:val="001759B6"/>
    <w:rsid w:val="001761E3"/>
    <w:rsid w:val="001811C4"/>
    <w:rsid w:val="00181A7E"/>
    <w:rsid w:val="00182FD8"/>
    <w:rsid w:val="00183218"/>
    <w:rsid w:val="00184079"/>
    <w:rsid w:val="00185988"/>
    <w:rsid w:val="00186666"/>
    <w:rsid w:val="001873B6"/>
    <w:rsid w:val="001901E6"/>
    <w:rsid w:val="00191305"/>
    <w:rsid w:val="001948FB"/>
    <w:rsid w:val="00195B55"/>
    <w:rsid w:val="0019681B"/>
    <w:rsid w:val="001A2FE8"/>
    <w:rsid w:val="001A33AC"/>
    <w:rsid w:val="001B5F11"/>
    <w:rsid w:val="001C1C51"/>
    <w:rsid w:val="001D3926"/>
    <w:rsid w:val="001D3974"/>
    <w:rsid w:val="001D4FC9"/>
    <w:rsid w:val="001E0ECA"/>
    <w:rsid w:val="001E206F"/>
    <w:rsid w:val="001E5750"/>
    <w:rsid w:val="001E66BA"/>
    <w:rsid w:val="001E7739"/>
    <w:rsid w:val="001F3DB4"/>
    <w:rsid w:val="001F7564"/>
    <w:rsid w:val="00203DB9"/>
    <w:rsid w:val="00204F40"/>
    <w:rsid w:val="00205DEF"/>
    <w:rsid w:val="002112C3"/>
    <w:rsid w:val="00212FF1"/>
    <w:rsid w:val="002131E5"/>
    <w:rsid w:val="00216C8A"/>
    <w:rsid w:val="00222887"/>
    <w:rsid w:val="00226317"/>
    <w:rsid w:val="00231539"/>
    <w:rsid w:val="0023167F"/>
    <w:rsid w:val="00231D76"/>
    <w:rsid w:val="00242093"/>
    <w:rsid w:val="00243F22"/>
    <w:rsid w:val="00247D2B"/>
    <w:rsid w:val="002523E3"/>
    <w:rsid w:val="00252AD6"/>
    <w:rsid w:val="00253510"/>
    <w:rsid w:val="002542CE"/>
    <w:rsid w:val="00257A4E"/>
    <w:rsid w:val="00266FA5"/>
    <w:rsid w:val="00276FBA"/>
    <w:rsid w:val="00277665"/>
    <w:rsid w:val="002837AE"/>
    <w:rsid w:val="002920F4"/>
    <w:rsid w:val="002940F3"/>
    <w:rsid w:val="00295842"/>
    <w:rsid w:val="002B3574"/>
    <w:rsid w:val="002B3D0B"/>
    <w:rsid w:val="002B44CA"/>
    <w:rsid w:val="002B6B74"/>
    <w:rsid w:val="002B6D0C"/>
    <w:rsid w:val="002C6AE7"/>
    <w:rsid w:val="002D2D4B"/>
    <w:rsid w:val="002D3805"/>
    <w:rsid w:val="002E66AE"/>
    <w:rsid w:val="002E71D6"/>
    <w:rsid w:val="002E7763"/>
    <w:rsid w:val="002F4C6F"/>
    <w:rsid w:val="002F5011"/>
    <w:rsid w:val="002F5842"/>
    <w:rsid w:val="002F7847"/>
    <w:rsid w:val="00306516"/>
    <w:rsid w:val="00306CB7"/>
    <w:rsid w:val="003111F5"/>
    <w:rsid w:val="003140C4"/>
    <w:rsid w:val="00317664"/>
    <w:rsid w:val="00336200"/>
    <w:rsid w:val="00337418"/>
    <w:rsid w:val="00345A76"/>
    <w:rsid w:val="00350C41"/>
    <w:rsid w:val="00351D83"/>
    <w:rsid w:val="00352197"/>
    <w:rsid w:val="00353E46"/>
    <w:rsid w:val="003576C4"/>
    <w:rsid w:val="0036277A"/>
    <w:rsid w:val="00366AB0"/>
    <w:rsid w:val="00367EBF"/>
    <w:rsid w:val="003700E8"/>
    <w:rsid w:val="0037437C"/>
    <w:rsid w:val="0038146B"/>
    <w:rsid w:val="00381C52"/>
    <w:rsid w:val="0038340F"/>
    <w:rsid w:val="00384457"/>
    <w:rsid w:val="00384F24"/>
    <w:rsid w:val="003A32B2"/>
    <w:rsid w:val="003A47DD"/>
    <w:rsid w:val="003A5F67"/>
    <w:rsid w:val="003A634F"/>
    <w:rsid w:val="003A68F9"/>
    <w:rsid w:val="003A7025"/>
    <w:rsid w:val="003B14C1"/>
    <w:rsid w:val="003B17D3"/>
    <w:rsid w:val="003B2884"/>
    <w:rsid w:val="003B588A"/>
    <w:rsid w:val="003B621D"/>
    <w:rsid w:val="003C4388"/>
    <w:rsid w:val="003C4C27"/>
    <w:rsid w:val="003C7402"/>
    <w:rsid w:val="003C7F7B"/>
    <w:rsid w:val="003D0CD6"/>
    <w:rsid w:val="003D2EAA"/>
    <w:rsid w:val="003E054C"/>
    <w:rsid w:val="003E1EC5"/>
    <w:rsid w:val="003E27A0"/>
    <w:rsid w:val="003E3872"/>
    <w:rsid w:val="003F7EEE"/>
    <w:rsid w:val="003FCED0"/>
    <w:rsid w:val="004044AA"/>
    <w:rsid w:val="004044C8"/>
    <w:rsid w:val="00404F3F"/>
    <w:rsid w:val="00410B5D"/>
    <w:rsid w:val="00413BEC"/>
    <w:rsid w:val="004202E5"/>
    <w:rsid w:val="0042265E"/>
    <w:rsid w:val="00424ED7"/>
    <w:rsid w:val="00425258"/>
    <w:rsid w:val="00426217"/>
    <w:rsid w:val="00431A80"/>
    <w:rsid w:val="004354F3"/>
    <w:rsid w:val="00435A89"/>
    <w:rsid w:val="00444BE7"/>
    <w:rsid w:val="00452267"/>
    <w:rsid w:val="00453307"/>
    <w:rsid w:val="00455A02"/>
    <w:rsid w:val="004571E0"/>
    <w:rsid w:val="00457360"/>
    <w:rsid w:val="00457E36"/>
    <w:rsid w:val="00460BD3"/>
    <w:rsid w:val="00462F8F"/>
    <w:rsid w:val="004708F2"/>
    <w:rsid w:val="004724DE"/>
    <w:rsid w:val="004770FE"/>
    <w:rsid w:val="0048157F"/>
    <w:rsid w:val="00481D56"/>
    <w:rsid w:val="00490408"/>
    <w:rsid w:val="00492665"/>
    <w:rsid w:val="004A4C45"/>
    <w:rsid w:val="004B0485"/>
    <w:rsid w:val="004B428E"/>
    <w:rsid w:val="004B4D0A"/>
    <w:rsid w:val="004B4D37"/>
    <w:rsid w:val="004C31E2"/>
    <w:rsid w:val="004C42F0"/>
    <w:rsid w:val="004D50C8"/>
    <w:rsid w:val="004D6B72"/>
    <w:rsid w:val="004D74D3"/>
    <w:rsid w:val="004E1D73"/>
    <w:rsid w:val="004E716B"/>
    <w:rsid w:val="004E72DD"/>
    <w:rsid w:val="004F5E6A"/>
    <w:rsid w:val="005025FB"/>
    <w:rsid w:val="00503462"/>
    <w:rsid w:val="00506051"/>
    <w:rsid w:val="0051286E"/>
    <w:rsid w:val="00513434"/>
    <w:rsid w:val="00516021"/>
    <w:rsid w:val="00516457"/>
    <w:rsid w:val="00516641"/>
    <w:rsid w:val="0051729F"/>
    <w:rsid w:val="00520A0C"/>
    <w:rsid w:val="00523081"/>
    <w:rsid w:val="00530E37"/>
    <w:rsid w:val="00535946"/>
    <w:rsid w:val="005364A8"/>
    <w:rsid w:val="005452CF"/>
    <w:rsid w:val="00545CC4"/>
    <w:rsid w:val="005464A1"/>
    <w:rsid w:val="00546F12"/>
    <w:rsid w:val="0055339C"/>
    <w:rsid w:val="005542CC"/>
    <w:rsid w:val="0055435A"/>
    <w:rsid w:val="00560424"/>
    <w:rsid w:val="00562B3C"/>
    <w:rsid w:val="00564E40"/>
    <w:rsid w:val="00573889"/>
    <w:rsid w:val="00573896"/>
    <w:rsid w:val="005750E2"/>
    <w:rsid w:val="0058313F"/>
    <w:rsid w:val="00585859"/>
    <w:rsid w:val="00586FBC"/>
    <w:rsid w:val="005879C9"/>
    <w:rsid w:val="00587D0F"/>
    <w:rsid w:val="00587FE4"/>
    <w:rsid w:val="00594CAD"/>
    <w:rsid w:val="005A1D01"/>
    <w:rsid w:val="005A1D0B"/>
    <w:rsid w:val="005A3C6B"/>
    <w:rsid w:val="005B1EA5"/>
    <w:rsid w:val="005C0725"/>
    <w:rsid w:val="005C348E"/>
    <w:rsid w:val="005C54A0"/>
    <w:rsid w:val="005D0D15"/>
    <w:rsid w:val="005D13C1"/>
    <w:rsid w:val="005D21EE"/>
    <w:rsid w:val="005D5BB4"/>
    <w:rsid w:val="005D7176"/>
    <w:rsid w:val="005E18CB"/>
    <w:rsid w:val="005E1F24"/>
    <w:rsid w:val="005E3667"/>
    <w:rsid w:val="005E73F1"/>
    <w:rsid w:val="005F028A"/>
    <w:rsid w:val="005F07EF"/>
    <w:rsid w:val="005F16B6"/>
    <w:rsid w:val="005F5224"/>
    <w:rsid w:val="00600B2E"/>
    <w:rsid w:val="00601122"/>
    <w:rsid w:val="00606521"/>
    <w:rsid w:val="00607CEB"/>
    <w:rsid w:val="00611187"/>
    <w:rsid w:val="00613299"/>
    <w:rsid w:val="0061762D"/>
    <w:rsid w:val="00634238"/>
    <w:rsid w:val="00635FBC"/>
    <w:rsid w:val="00637728"/>
    <w:rsid w:val="0064113A"/>
    <w:rsid w:val="0064167B"/>
    <w:rsid w:val="00642A4E"/>
    <w:rsid w:val="006433E2"/>
    <w:rsid w:val="00644002"/>
    <w:rsid w:val="006444B2"/>
    <w:rsid w:val="006458B1"/>
    <w:rsid w:val="00646BDC"/>
    <w:rsid w:val="00650529"/>
    <w:rsid w:val="00650BAB"/>
    <w:rsid w:val="00651737"/>
    <w:rsid w:val="006652DD"/>
    <w:rsid w:val="006671BF"/>
    <w:rsid w:val="00672A7D"/>
    <w:rsid w:val="00673A42"/>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5D55"/>
    <w:rsid w:val="007109F6"/>
    <w:rsid w:val="007113F6"/>
    <w:rsid w:val="00711BE3"/>
    <w:rsid w:val="00715F9C"/>
    <w:rsid w:val="00716C28"/>
    <w:rsid w:val="00721B51"/>
    <w:rsid w:val="00724FA7"/>
    <w:rsid w:val="00725415"/>
    <w:rsid w:val="00727505"/>
    <w:rsid w:val="00731581"/>
    <w:rsid w:val="0073481D"/>
    <w:rsid w:val="00741B9E"/>
    <w:rsid w:val="00743DAC"/>
    <w:rsid w:val="007455B3"/>
    <w:rsid w:val="0075013E"/>
    <w:rsid w:val="007502CD"/>
    <w:rsid w:val="00752AE7"/>
    <w:rsid w:val="00752D3B"/>
    <w:rsid w:val="0075337B"/>
    <w:rsid w:val="00755CD4"/>
    <w:rsid w:val="00757F96"/>
    <w:rsid w:val="007610B5"/>
    <w:rsid w:val="007623CB"/>
    <w:rsid w:val="00762652"/>
    <w:rsid w:val="00764551"/>
    <w:rsid w:val="007677B8"/>
    <w:rsid w:val="00781713"/>
    <w:rsid w:val="00782E10"/>
    <w:rsid w:val="00785285"/>
    <w:rsid w:val="0078529D"/>
    <w:rsid w:val="00785E77"/>
    <w:rsid w:val="00787DC1"/>
    <w:rsid w:val="00794070"/>
    <w:rsid w:val="007A63CA"/>
    <w:rsid w:val="007A713B"/>
    <w:rsid w:val="007A7DA0"/>
    <w:rsid w:val="007B64E5"/>
    <w:rsid w:val="007C2F04"/>
    <w:rsid w:val="007F06E5"/>
    <w:rsid w:val="007F4827"/>
    <w:rsid w:val="007F5B8B"/>
    <w:rsid w:val="00811563"/>
    <w:rsid w:val="00817E9A"/>
    <w:rsid w:val="00823F4D"/>
    <w:rsid w:val="00827786"/>
    <w:rsid w:val="00827BDA"/>
    <w:rsid w:val="00830D57"/>
    <w:rsid w:val="008314DA"/>
    <w:rsid w:val="00831F00"/>
    <w:rsid w:val="00850CA0"/>
    <w:rsid w:val="00852A2F"/>
    <w:rsid w:val="008608EE"/>
    <w:rsid w:val="00860B07"/>
    <w:rsid w:val="008616F6"/>
    <w:rsid w:val="0086259C"/>
    <w:rsid w:val="00863F5E"/>
    <w:rsid w:val="00864EF3"/>
    <w:rsid w:val="008674ED"/>
    <w:rsid w:val="0087074C"/>
    <w:rsid w:val="00883F24"/>
    <w:rsid w:val="0088548D"/>
    <w:rsid w:val="00890F19"/>
    <w:rsid w:val="00897E1F"/>
    <w:rsid w:val="008A3E8E"/>
    <w:rsid w:val="008B2CB4"/>
    <w:rsid w:val="008B3D82"/>
    <w:rsid w:val="008B5503"/>
    <w:rsid w:val="008B6404"/>
    <w:rsid w:val="008C2C21"/>
    <w:rsid w:val="008C54E7"/>
    <w:rsid w:val="008C6EB3"/>
    <w:rsid w:val="008C7DD3"/>
    <w:rsid w:val="008D5F7D"/>
    <w:rsid w:val="008E000B"/>
    <w:rsid w:val="008E2926"/>
    <w:rsid w:val="008E35C6"/>
    <w:rsid w:val="008E3F49"/>
    <w:rsid w:val="008E786C"/>
    <w:rsid w:val="008E7FBC"/>
    <w:rsid w:val="008F243B"/>
    <w:rsid w:val="008F4675"/>
    <w:rsid w:val="008F50FE"/>
    <w:rsid w:val="008F69CD"/>
    <w:rsid w:val="00901C69"/>
    <w:rsid w:val="00901E60"/>
    <w:rsid w:val="00904A66"/>
    <w:rsid w:val="00905029"/>
    <w:rsid w:val="00921A3A"/>
    <w:rsid w:val="0092287F"/>
    <w:rsid w:val="0092495B"/>
    <w:rsid w:val="0092660E"/>
    <w:rsid w:val="00936519"/>
    <w:rsid w:val="00941DA3"/>
    <w:rsid w:val="00942C0C"/>
    <w:rsid w:val="00951711"/>
    <w:rsid w:val="0095328F"/>
    <w:rsid w:val="009539E3"/>
    <w:rsid w:val="00954A5E"/>
    <w:rsid w:val="009551B2"/>
    <w:rsid w:val="0096022C"/>
    <w:rsid w:val="00964625"/>
    <w:rsid w:val="00966EB1"/>
    <w:rsid w:val="00975F99"/>
    <w:rsid w:val="00977CF6"/>
    <w:rsid w:val="00980937"/>
    <w:rsid w:val="00981C1D"/>
    <w:rsid w:val="0099109C"/>
    <w:rsid w:val="009936DB"/>
    <w:rsid w:val="00993CFC"/>
    <w:rsid w:val="009A1DC2"/>
    <w:rsid w:val="009A5EEA"/>
    <w:rsid w:val="009B0906"/>
    <w:rsid w:val="009B38F2"/>
    <w:rsid w:val="009B7433"/>
    <w:rsid w:val="009C0914"/>
    <w:rsid w:val="009C27E5"/>
    <w:rsid w:val="009C5256"/>
    <w:rsid w:val="009D24A1"/>
    <w:rsid w:val="009D3891"/>
    <w:rsid w:val="009D71E8"/>
    <w:rsid w:val="009E04A9"/>
    <w:rsid w:val="009E104B"/>
    <w:rsid w:val="009E4239"/>
    <w:rsid w:val="009E7DE4"/>
    <w:rsid w:val="009F3BBD"/>
    <w:rsid w:val="00A022AB"/>
    <w:rsid w:val="00A063DD"/>
    <w:rsid w:val="00A112B5"/>
    <w:rsid w:val="00A13908"/>
    <w:rsid w:val="00A14EEA"/>
    <w:rsid w:val="00A15601"/>
    <w:rsid w:val="00A20E9C"/>
    <w:rsid w:val="00A33636"/>
    <w:rsid w:val="00A35178"/>
    <w:rsid w:val="00A373C7"/>
    <w:rsid w:val="00A44FBB"/>
    <w:rsid w:val="00A476F2"/>
    <w:rsid w:val="00A47B8F"/>
    <w:rsid w:val="00A50104"/>
    <w:rsid w:val="00A522E0"/>
    <w:rsid w:val="00A52823"/>
    <w:rsid w:val="00A6011A"/>
    <w:rsid w:val="00A63579"/>
    <w:rsid w:val="00A638AC"/>
    <w:rsid w:val="00A64475"/>
    <w:rsid w:val="00A66927"/>
    <w:rsid w:val="00A67A9D"/>
    <w:rsid w:val="00A727E5"/>
    <w:rsid w:val="00A748B5"/>
    <w:rsid w:val="00A80A32"/>
    <w:rsid w:val="00A82A98"/>
    <w:rsid w:val="00A82D16"/>
    <w:rsid w:val="00A852F2"/>
    <w:rsid w:val="00A8712A"/>
    <w:rsid w:val="00A95F75"/>
    <w:rsid w:val="00A968DA"/>
    <w:rsid w:val="00A96B83"/>
    <w:rsid w:val="00AA355B"/>
    <w:rsid w:val="00AA42E5"/>
    <w:rsid w:val="00AA5F6E"/>
    <w:rsid w:val="00AB24FA"/>
    <w:rsid w:val="00AB3B8B"/>
    <w:rsid w:val="00AB749A"/>
    <w:rsid w:val="00AB7C6B"/>
    <w:rsid w:val="00AC3EA7"/>
    <w:rsid w:val="00AD03B1"/>
    <w:rsid w:val="00AD7B5A"/>
    <w:rsid w:val="00AE229F"/>
    <w:rsid w:val="00AE3131"/>
    <w:rsid w:val="00AF5E20"/>
    <w:rsid w:val="00B002FA"/>
    <w:rsid w:val="00B00327"/>
    <w:rsid w:val="00B01A45"/>
    <w:rsid w:val="00B024B3"/>
    <w:rsid w:val="00B046DF"/>
    <w:rsid w:val="00B11DE8"/>
    <w:rsid w:val="00B179ED"/>
    <w:rsid w:val="00B20E18"/>
    <w:rsid w:val="00B2489F"/>
    <w:rsid w:val="00B331E1"/>
    <w:rsid w:val="00B50E18"/>
    <w:rsid w:val="00B572C4"/>
    <w:rsid w:val="00B60858"/>
    <w:rsid w:val="00B66D23"/>
    <w:rsid w:val="00B74D4E"/>
    <w:rsid w:val="00B80219"/>
    <w:rsid w:val="00B80D36"/>
    <w:rsid w:val="00B87184"/>
    <w:rsid w:val="00B91453"/>
    <w:rsid w:val="00B91971"/>
    <w:rsid w:val="00B94A57"/>
    <w:rsid w:val="00B97E39"/>
    <w:rsid w:val="00BA19A5"/>
    <w:rsid w:val="00BB19A8"/>
    <w:rsid w:val="00BC078B"/>
    <w:rsid w:val="00BC3A7D"/>
    <w:rsid w:val="00BC67F6"/>
    <w:rsid w:val="00BD2004"/>
    <w:rsid w:val="00BD4B12"/>
    <w:rsid w:val="00BD700D"/>
    <w:rsid w:val="00BE2F92"/>
    <w:rsid w:val="00BE44AC"/>
    <w:rsid w:val="00BF0D5F"/>
    <w:rsid w:val="00BF59B3"/>
    <w:rsid w:val="00BF6F95"/>
    <w:rsid w:val="00C00729"/>
    <w:rsid w:val="00C10BCF"/>
    <w:rsid w:val="00C11EB4"/>
    <w:rsid w:val="00C12746"/>
    <w:rsid w:val="00C23C11"/>
    <w:rsid w:val="00C254A9"/>
    <w:rsid w:val="00C25827"/>
    <w:rsid w:val="00C31BB8"/>
    <w:rsid w:val="00C3305D"/>
    <w:rsid w:val="00C373EA"/>
    <w:rsid w:val="00C43CA3"/>
    <w:rsid w:val="00C43D9D"/>
    <w:rsid w:val="00C43EA4"/>
    <w:rsid w:val="00C50040"/>
    <w:rsid w:val="00C52DFF"/>
    <w:rsid w:val="00C54F71"/>
    <w:rsid w:val="00C621C1"/>
    <w:rsid w:val="00C62989"/>
    <w:rsid w:val="00C65CBB"/>
    <w:rsid w:val="00C74684"/>
    <w:rsid w:val="00C76675"/>
    <w:rsid w:val="00C77FEF"/>
    <w:rsid w:val="00C80F37"/>
    <w:rsid w:val="00C83659"/>
    <w:rsid w:val="00C97A7F"/>
    <w:rsid w:val="00CA4421"/>
    <w:rsid w:val="00CA5363"/>
    <w:rsid w:val="00CA7D07"/>
    <w:rsid w:val="00CB24A4"/>
    <w:rsid w:val="00CB5B17"/>
    <w:rsid w:val="00CC4443"/>
    <w:rsid w:val="00CC5CAF"/>
    <w:rsid w:val="00CE774D"/>
    <w:rsid w:val="00CF5928"/>
    <w:rsid w:val="00D06495"/>
    <w:rsid w:val="00D06874"/>
    <w:rsid w:val="00D07530"/>
    <w:rsid w:val="00D173F7"/>
    <w:rsid w:val="00D20203"/>
    <w:rsid w:val="00D204E0"/>
    <w:rsid w:val="00D21354"/>
    <w:rsid w:val="00D22400"/>
    <w:rsid w:val="00D23F4A"/>
    <w:rsid w:val="00D264E2"/>
    <w:rsid w:val="00D278BA"/>
    <w:rsid w:val="00D33FE5"/>
    <w:rsid w:val="00D348C0"/>
    <w:rsid w:val="00D3578A"/>
    <w:rsid w:val="00D372F6"/>
    <w:rsid w:val="00D43A15"/>
    <w:rsid w:val="00D4463C"/>
    <w:rsid w:val="00D46EFF"/>
    <w:rsid w:val="00D501EE"/>
    <w:rsid w:val="00D517DC"/>
    <w:rsid w:val="00D5360D"/>
    <w:rsid w:val="00D5590D"/>
    <w:rsid w:val="00D618E4"/>
    <w:rsid w:val="00D61DA5"/>
    <w:rsid w:val="00D620D3"/>
    <w:rsid w:val="00D6238D"/>
    <w:rsid w:val="00D642A3"/>
    <w:rsid w:val="00D71B8A"/>
    <w:rsid w:val="00D72C08"/>
    <w:rsid w:val="00D74956"/>
    <w:rsid w:val="00D807FE"/>
    <w:rsid w:val="00D81325"/>
    <w:rsid w:val="00D82ED4"/>
    <w:rsid w:val="00D875ED"/>
    <w:rsid w:val="00D877D0"/>
    <w:rsid w:val="00D90013"/>
    <w:rsid w:val="00D912F7"/>
    <w:rsid w:val="00D91B9C"/>
    <w:rsid w:val="00D92C1B"/>
    <w:rsid w:val="00D94A3C"/>
    <w:rsid w:val="00D94CC7"/>
    <w:rsid w:val="00DA1AF4"/>
    <w:rsid w:val="00DA6F6A"/>
    <w:rsid w:val="00DB0C60"/>
    <w:rsid w:val="00DB5849"/>
    <w:rsid w:val="00DC3BDB"/>
    <w:rsid w:val="00DC641A"/>
    <w:rsid w:val="00DD21A1"/>
    <w:rsid w:val="00DD6B7D"/>
    <w:rsid w:val="00DD6E14"/>
    <w:rsid w:val="00DE15AC"/>
    <w:rsid w:val="00DF2015"/>
    <w:rsid w:val="00DF201F"/>
    <w:rsid w:val="00E061EC"/>
    <w:rsid w:val="00E10642"/>
    <w:rsid w:val="00E10E81"/>
    <w:rsid w:val="00E13E51"/>
    <w:rsid w:val="00E21F56"/>
    <w:rsid w:val="00E22F9F"/>
    <w:rsid w:val="00E3014F"/>
    <w:rsid w:val="00E4286E"/>
    <w:rsid w:val="00E42A94"/>
    <w:rsid w:val="00E43EAD"/>
    <w:rsid w:val="00E4500F"/>
    <w:rsid w:val="00E47887"/>
    <w:rsid w:val="00E53588"/>
    <w:rsid w:val="00E572A3"/>
    <w:rsid w:val="00E62DCB"/>
    <w:rsid w:val="00E64747"/>
    <w:rsid w:val="00E651DD"/>
    <w:rsid w:val="00E66558"/>
    <w:rsid w:val="00E705A7"/>
    <w:rsid w:val="00E70D81"/>
    <w:rsid w:val="00E726A6"/>
    <w:rsid w:val="00E73418"/>
    <w:rsid w:val="00E8109E"/>
    <w:rsid w:val="00E86F05"/>
    <w:rsid w:val="00EA3A2A"/>
    <w:rsid w:val="00EA5FD8"/>
    <w:rsid w:val="00EA7020"/>
    <w:rsid w:val="00EA7F64"/>
    <w:rsid w:val="00EB4556"/>
    <w:rsid w:val="00EB63A0"/>
    <w:rsid w:val="00EB64C8"/>
    <w:rsid w:val="00ED0CED"/>
    <w:rsid w:val="00ED4136"/>
    <w:rsid w:val="00ED5108"/>
    <w:rsid w:val="00ED6AE8"/>
    <w:rsid w:val="00EE2CB2"/>
    <w:rsid w:val="00EF1E44"/>
    <w:rsid w:val="00F012CA"/>
    <w:rsid w:val="00F01752"/>
    <w:rsid w:val="00F017D2"/>
    <w:rsid w:val="00F0355A"/>
    <w:rsid w:val="00F05C44"/>
    <w:rsid w:val="00F10693"/>
    <w:rsid w:val="00F15753"/>
    <w:rsid w:val="00F21E73"/>
    <w:rsid w:val="00F21F92"/>
    <w:rsid w:val="00F24A7E"/>
    <w:rsid w:val="00F31CE5"/>
    <w:rsid w:val="00F32ABA"/>
    <w:rsid w:val="00F33DC0"/>
    <w:rsid w:val="00F33F28"/>
    <w:rsid w:val="00F35A40"/>
    <w:rsid w:val="00F35FDE"/>
    <w:rsid w:val="00F40DE1"/>
    <w:rsid w:val="00F4142A"/>
    <w:rsid w:val="00F62587"/>
    <w:rsid w:val="00F631A6"/>
    <w:rsid w:val="00F63E9E"/>
    <w:rsid w:val="00F66AA7"/>
    <w:rsid w:val="00F74F49"/>
    <w:rsid w:val="00F75603"/>
    <w:rsid w:val="00F76843"/>
    <w:rsid w:val="00F776E1"/>
    <w:rsid w:val="00F925EB"/>
    <w:rsid w:val="00F97033"/>
    <w:rsid w:val="00FA1183"/>
    <w:rsid w:val="00FA1462"/>
    <w:rsid w:val="00FA5B50"/>
    <w:rsid w:val="00FA6DD0"/>
    <w:rsid w:val="00FC15A8"/>
    <w:rsid w:val="00FC28DF"/>
    <w:rsid w:val="00FD2297"/>
    <w:rsid w:val="00FD6AC6"/>
    <w:rsid w:val="00FE3136"/>
    <w:rsid w:val="00FE4714"/>
    <w:rsid w:val="00FE50A3"/>
    <w:rsid w:val="00FE5204"/>
    <w:rsid w:val="00FE604C"/>
    <w:rsid w:val="00FF0A21"/>
    <w:rsid w:val="00FF369D"/>
    <w:rsid w:val="00FF6FB0"/>
    <w:rsid w:val="00FF79A8"/>
    <w:rsid w:val="010D4FA1"/>
    <w:rsid w:val="02094DCC"/>
    <w:rsid w:val="020C1F9F"/>
    <w:rsid w:val="04EACDB4"/>
    <w:rsid w:val="05B6D577"/>
    <w:rsid w:val="05EB0291"/>
    <w:rsid w:val="069AA0E3"/>
    <w:rsid w:val="070896C2"/>
    <w:rsid w:val="07CFB4DF"/>
    <w:rsid w:val="07FFD3D3"/>
    <w:rsid w:val="093CCA43"/>
    <w:rsid w:val="0AF2902C"/>
    <w:rsid w:val="0B240EAF"/>
    <w:rsid w:val="0DD59AF5"/>
    <w:rsid w:val="0E6F65DA"/>
    <w:rsid w:val="0F179DD6"/>
    <w:rsid w:val="108C745F"/>
    <w:rsid w:val="11233762"/>
    <w:rsid w:val="1127E473"/>
    <w:rsid w:val="119DC730"/>
    <w:rsid w:val="12373397"/>
    <w:rsid w:val="124F41A5"/>
    <w:rsid w:val="126D1C72"/>
    <w:rsid w:val="12F29273"/>
    <w:rsid w:val="13173609"/>
    <w:rsid w:val="139A64ED"/>
    <w:rsid w:val="13D3BE65"/>
    <w:rsid w:val="13F75FA1"/>
    <w:rsid w:val="13FF763A"/>
    <w:rsid w:val="1416A61B"/>
    <w:rsid w:val="14389543"/>
    <w:rsid w:val="1571F7B7"/>
    <w:rsid w:val="15C6CD56"/>
    <w:rsid w:val="164B6CD1"/>
    <w:rsid w:val="17770EB2"/>
    <w:rsid w:val="187653EA"/>
    <w:rsid w:val="1A172959"/>
    <w:rsid w:val="1A460C1F"/>
    <w:rsid w:val="1B1363BC"/>
    <w:rsid w:val="1C22C03C"/>
    <w:rsid w:val="1CBF4D92"/>
    <w:rsid w:val="1E1271DA"/>
    <w:rsid w:val="1FA05960"/>
    <w:rsid w:val="20D38E2D"/>
    <w:rsid w:val="20FE3BDE"/>
    <w:rsid w:val="21F5B8E4"/>
    <w:rsid w:val="2236F25D"/>
    <w:rsid w:val="2497129E"/>
    <w:rsid w:val="25A2587F"/>
    <w:rsid w:val="25B856FC"/>
    <w:rsid w:val="25E9C0B4"/>
    <w:rsid w:val="27BA64AD"/>
    <w:rsid w:val="2860AB8E"/>
    <w:rsid w:val="29B3C3D7"/>
    <w:rsid w:val="2A908D5F"/>
    <w:rsid w:val="2AB2617F"/>
    <w:rsid w:val="2B0C2DA3"/>
    <w:rsid w:val="2B4C3F56"/>
    <w:rsid w:val="2C66950A"/>
    <w:rsid w:val="2D38EA46"/>
    <w:rsid w:val="2E727064"/>
    <w:rsid w:val="2FFB967E"/>
    <w:rsid w:val="3054592E"/>
    <w:rsid w:val="31300099"/>
    <w:rsid w:val="31CC4DD9"/>
    <w:rsid w:val="32913B1C"/>
    <w:rsid w:val="3397635A"/>
    <w:rsid w:val="35116BC5"/>
    <w:rsid w:val="380BAE89"/>
    <w:rsid w:val="3855EE38"/>
    <w:rsid w:val="390E5331"/>
    <w:rsid w:val="399D17C1"/>
    <w:rsid w:val="3A3F1ACF"/>
    <w:rsid w:val="3A8EB330"/>
    <w:rsid w:val="3B41CC5D"/>
    <w:rsid w:val="3BE13FA2"/>
    <w:rsid w:val="3C89C8A9"/>
    <w:rsid w:val="3E0DA14D"/>
    <w:rsid w:val="3EA4202B"/>
    <w:rsid w:val="3F477951"/>
    <w:rsid w:val="404070BA"/>
    <w:rsid w:val="40A0F01B"/>
    <w:rsid w:val="41010D12"/>
    <w:rsid w:val="418407A1"/>
    <w:rsid w:val="41EAAEE4"/>
    <w:rsid w:val="41F4E198"/>
    <w:rsid w:val="44241952"/>
    <w:rsid w:val="442B6B56"/>
    <w:rsid w:val="443B43C8"/>
    <w:rsid w:val="45758039"/>
    <w:rsid w:val="45B21045"/>
    <w:rsid w:val="45E5EBED"/>
    <w:rsid w:val="480094A9"/>
    <w:rsid w:val="491E3A64"/>
    <w:rsid w:val="49BB3C82"/>
    <w:rsid w:val="4BA9E020"/>
    <w:rsid w:val="4BF69EA0"/>
    <w:rsid w:val="4D0421BB"/>
    <w:rsid w:val="4EA7E0A3"/>
    <w:rsid w:val="4F8F657E"/>
    <w:rsid w:val="50BCCFC4"/>
    <w:rsid w:val="52B62B07"/>
    <w:rsid w:val="53769800"/>
    <w:rsid w:val="547294D1"/>
    <w:rsid w:val="548E2EBA"/>
    <w:rsid w:val="554FB43F"/>
    <w:rsid w:val="567942D7"/>
    <w:rsid w:val="5726C435"/>
    <w:rsid w:val="58C6B69B"/>
    <w:rsid w:val="5A1BF1ED"/>
    <w:rsid w:val="5ACEB8BC"/>
    <w:rsid w:val="5AFEF619"/>
    <w:rsid w:val="5B0901E7"/>
    <w:rsid w:val="5BDF7200"/>
    <w:rsid w:val="5C2ED40A"/>
    <w:rsid w:val="5C40C457"/>
    <w:rsid w:val="5C70EF72"/>
    <w:rsid w:val="5D017DDC"/>
    <w:rsid w:val="5D3B3201"/>
    <w:rsid w:val="5DA889F3"/>
    <w:rsid w:val="5DBD68EA"/>
    <w:rsid w:val="5E2CE8B0"/>
    <w:rsid w:val="5E6026F3"/>
    <w:rsid w:val="5E7E3FCF"/>
    <w:rsid w:val="5F3A7B6B"/>
    <w:rsid w:val="617B4808"/>
    <w:rsid w:val="625D1A15"/>
    <w:rsid w:val="652E7A62"/>
    <w:rsid w:val="66F13C57"/>
    <w:rsid w:val="66F7EF68"/>
    <w:rsid w:val="678FC31C"/>
    <w:rsid w:val="6AA98843"/>
    <w:rsid w:val="6C37F9F3"/>
    <w:rsid w:val="6C4E46B2"/>
    <w:rsid w:val="6CFE7A38"/>
    <w:rsid w:val="6D28B1AF"/>
    <w:rsid w:val="6D616F43"/>
    <w:rsid w:val="6D9C8A90"/>
    <w:rsid w:val="6DCBBDB1"/>
    <w:rsid w:val="6EB73EE5"/>
    <w:rsid w:val="71165D24"/>
    <w:rsid w:val="716A470C"/>
    <w:rsid w:val="7194DEB0"/>
    <w:rsid w:val="72D03F55"/>
    <w:rsid w:val="730DCAFF"/>
    <w:rsid w:val="7334C4CD"/>
    <w:rsid w:val="74C8473A"/>
    <w:rsid w:val="765DA1BD"/>
    <w:rsid w:val="765E387E"/>
    <w:rsid w:val="7708389E"/>
    <w:rsid w:val="79965F3B"/>
    <w:rsid w:val="7DF292DB"/>
    <w:rsid w:val="7E1F1300"/>
    <w:rsid w:val="7F7721BF"/>
    <w:rsid w:val="7FA0E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table" w:styleId="GridTable4-Accent5">
    <w:name w:val="Grid Table 4 Accent 5"/>
    <w:basedOn w:val="TableNormal"/>
    <w:uiPriority w:val="49"/>
    <w:rsid w:val="00977CF6"/>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uiPriority w:val="1"/>
    <w:qFormat/>
    <w:rsid w:val="002B3D0B"/>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99980078">
      <w:bodyDiv w:val="1"/>
      <w:marLeft w:val="0"/>
      <w:marRight w:val="0"/>
      <w:marTop w:val="0"/>
      <w:marBottom w:val="0"/>
      <w:divBdr>
        <w:top w:val="none" w:sz="0" w:space="0" w:color="auto"/>
        <w:left w:val="none" w:sz="0" w:space="0" w:color="auto"/>
        <w:bottom w:val="none" w:sz="0" w:space="0" w:color="auto"/>
        <w:right w:val="none" w:sz="0" w:space="0" w:color="auto"/>
      </w:divBdr>
    </w:div>
    <w:div w:id="539711801">
      <w:bodyDiv w:val="1"/>
      <w:marLeft w:val="0"/>
      <w:marRight w:val="0"/>
      <w:marTop w:val="0"/>
      <w:marBottom w:val="0"/>
      <w:divBdr>
        <w:top w:val="none" w:sz="0" w:space="0" w:color="auto"/>
        <w:left w:val="none" w:sz="0" w:space="0" w:color="auto"/>
        <w:bottom w:val="none" w:sz="0" w:space="0" w:color="auto"/>
        <w:right w:val="none" w:sz="0" w:space="0" w:color="auto"/>
      </w:divBdr>
    </w:div>
    <w:div w:id="1172791840">
      <w:bodyDiv w:val="1"/>
      <w:marLeft w:val="0"/>
      <w:marRight w:val="0"/>
      <w:marTop w:val="0"/>
      <w:marBottom w:val="0"/>
      <w:divBdr>
        <w:top w:val="none" w:sz="0" w:space="0" w:color="auto"/>
        <w:left w:val="none" w:sz="0" w:space="0" w:color="auto"/>
        <w:bottom w:val="none" w:sz="0" w:space="0" w:color="auto"/>
        <w:right w:val="none" w:sz="0" w:space="0" w:color="auto"/>
      </w:divBdr>
    </w:div>
    <w:div w:id="1250626581">
      <w:bodyDiv w:val="1"/>
      <w:marLeft w:val="0"/>
      <w:marRight w:val="0"/>
      <w:marTop w:val="0"/>
      <w:marBottom w:val="0"/>
      <w:divBdr>
        <w:top w:val="none" w:sz="0" w:space="0" w:color="auto"/>
        <w:left w:val="none" w:sz="0" w:space="0" w:color="auto"/>
        <w:bottom w:val="none" w:sz="0" w:space="0" w:color="auto"/>
        <w:right w:val="none" w:sz="0" w:space="0" w:color="auto"/>
      </w:divBdr>
      <w:divsChild>
        <w:div w:id="995651601">
          <w:marLeft w:val="0"/>
          <w:marRight w:val="0"/>
          <w:marTop w:val="0"/>
          <w:marBottom w:val="0"/>
          <w:divBdr>
            <w:top w:val="none" w:sz="0" w:space="0" w:color="auto"/>
            <w:left w:val="none" w:sz="0" w:space="0" w:color="auto"/>
            <w:bottom w:val="none" w:sz="0" w:space="0" w:color="auto"/>
            <w:right w:val="none" w:sz="0" w:space="0" w:color="auto"/>
          </w:divBdr>
        </w:div>
        <w:div w:id="970206900">
          <w:marLeft w:val="0"/>
          <w:marRight w:val="0"/>
          <w:marTop w:val="0"/>
          <w:marBottom w:val="0"/>
          <w:divBdr>
            <w:top w:val="none" w:sz="0" w:space="0" w:color="auto"/>
            <w:left w:val="none" w:sz="0" w:space="0" w:color="auto"/>
            <w:bottom w:val="none" w:sz="0" w:space="0" w:color="auto"/>
            <w:right w:val="none" w:sz="0" w:space="0" w:color="auto"/>
          </w:divBdr>
          <w:divsChild>
            <w:div w:id="2019307841">
              <w:marLeft w:val="0"/>
              <w:marRight w:val="0"/>
              <w:marTop w:val="0"/>
              <w:marBottom w:val="0"/>
              <w:divBdr>
                <w:top w:val="none" w:sz="0" w:space="0" w:color="auto"/>
                <w:left w:val="none" w:sz="0" w:space="0" w:color="auto"/>
                <w:bottom w:val="none" w:sz="0" w:space="0" w:color="auto"/>
                <w:right w:val="none" w:sz="0" w:space="0" w:color="auto"/>
              </w:divBdr>
            </w:div>
            <w:div w:id="3720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5803">
      <w:bodyDiv w:val="1"/>
      <w:marLeft w:val="0"/>
      <w:marRight w:val="0"/>
      <w:marTop w:val="0"/>
      <w:marBottom w:val="0"/>
      <w:divBdr>
        <w:top w:val="none" w:sz="0" w:space="0" w:color="auto"/>
        <w:left w:val="none" w:sz="0" w:space="0" w:color="auto"/>
        <w:bottom w:val="none" w:sz="0" w:space="0" w:color="auto"/>
        <w:right w:val="none" w:sz="0" w:space="0" w:color="auto"/>
      </w:divBdr>
    </w:div>
    <w:div w:id="1492217346">
      <w:bodyDiv w:val="1"/>
      <w:marLeft w:val="0"/>
      <w:marRight w:val="0"/>
      <w:marTop w:val="0"/>
      <w:marBottom w:val="0"/>
      <w:divBdr>
        <w:top w:val="none" w:sz="0" w:space="0" w:color="auto"/>
        <w:left w:val="none" w:sz="0" w:space="0" w:color="auto"/>
        <w:bottom w:val="none" w:sz="0" w:space="0" w:color="auto"/>
        <w:right w:val="none" w:sz="0" w:space="0" w:color="auto"/>
      </w:divBdr>
    </w:div>
    <w:div w:id="2094164452">
      <w:bodyDiv w:val="1"/>
      <w:marLeft w:val="0"/>
      <w:marRight w:val="0"/>
      <w:marTop w:val="0"/>
      <w:marBottom w:val="0"/>
      <w:divBdr>
        <w:top w:val="none" w:sz="0" w:space="0" w:color="auto"/>
        <w:left w:val="none" w:sz="0" w:space="0" w:color="auto"/>
        <w:bottom w:val="none" w:sz="0" w:space="0" w:color="auto"/>
        <w:right w:val="none" w:sz="0" w:space="0" w:color="auto"/>
      </w:divBdr>
      <w:divsChild>
        <w:div w:id="838809418">
          <w:marLeft w:val="0"/>
          <w:marRight w:val="0"/>
          <w:marTop w:val="0"/>
          <w:marBottom w:val="0"/>
          <w:divBdr>
            <w:top w:val="none" w:sz="0" w:space="0" w:color="auto"/>
            <w:left w:val="none" w:sz="0" w:space="0" w:color="auto"/>
            <w:bottom w:val="none" w:sz="0" w:space="0" w:color="auto"/>
            <w:right w:val="none" w:sz="0" w:space="0" w:color="auto"/>
          </w:divBdr>
        </w:div>
        <w:div w:id="464083927">
          <w:marLeft w:val="0"/>
          <w:marRight w:val="0"/>
          <w:marTop w:val="0"/>
          <w:marBottom w:val="0"/>
          <w:divBdr>
            <w:top w:val="none" w:sz="0" w:space="0" w:color="auto"/>
            <w:left w:val="none" w:sz="0" w:space="0" w:color="auto"/>
            <w:bottom w:val="none" w:sz="0" w:space="0" w:color="auto"/>
            <w:right w:val="none" w:sz="0" w:space="0" w:color="auto"/>
          </w:divBdr>
          <w:divsChild>
            <w:div w:id="739252235">
              <w:marLeft w:val="0"/>
              <w:marRight w:val="0"/>
              <w:marTop w:val="0"/>
              <w:marBottom w:val="0"/>
              <w:divBdr>
                <w:top w:val="none" w:sz="0" w:space="0" w:color="auto"/>
                <w:left w:val="none" w:sz="0" w:space="0" w:color="auto"/>
                <w:bottom w:val="none" w:sz="0" w:space="0" w:color="auto"/>
                <w:right w:val="none" w:sz="0" w:space="0" w:color="auto"/>
              </w:divBdr>
            </w:div>
            <w:div w:id="18936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pupil-premium"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ducationendowmentfoundation.org.uk/guidance-for-teachers/using-pupil-premiu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pupil-premiu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educationendowmentfoundation.org.uk/guidance-for-teachers/using-pupil-premiu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153180-d8e1-41b8-a6fe-d11a75a094c9">
      <Terms xmlns="http://schemas.microsoft.com/office/infopath/2007/PartnerControls"/>
    </lcf76f155ced4ddcb4097134ff3c332f>
    <TaxCatchAll xmlns="ae70394f-2dd2-48dc-8cc0-ab5a1b2004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4CDC02DC1FC941A27D22CD37869801" ma:contentTypeVersion="14" ma:contentTypeDescription="Create a new document." ma:contentTypeScope="" ma:versionID="6db5356ee90966c770a0b6aa44b4a149">
  <xsd:schema xmlns:xsd="http://www.w3.org/2001/XMLSchema" xmlns:xs="http://www.w3.org/2001/XMLSchema" xmlns:p="http://schemas.microsoft.com/office/2006/metadata/properties" xmlns:ns2="04153180-d8e1-41b8-a6fe-d11a75a094c9" xmlns:ns3="ae70394f-2dd2-48dc-8cc0-ab5a1b2004f5" targetNamespace="http://schemas.microsoft.com/office/2006/metadata/properties" ma:root="true" ma:fieldsID="52e7fd173b57c2bea15714c0f4a966c6" ns2:_="" ns3:_="">
    <xsd:import namespace="04153180-d8e1-41b8-a6fe-d11a75a094c9"/>
    <xsd:import namespace="ae70394f-2dd2-48dc-8cc0-ab5a1b2004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53180-d8e1-41b8-a6fe-d11a75a09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0394f-2dd2-48dc-8cc0-ab5a1b2004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08c0df-ca80-4eb8-9560-c7c8aee90980}" ma:internalName="TaxCatchAll" ma:showField="CatchAllData" ma:web="ae70394f-2dd2-48dc-8cc0-ab5a1b200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E41E3-DCCA-4521-B73D-BA810694C4DD}">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purl.org/dc/terms/"/>
    <ds:schemaRef ds:uri="ae70394f-2dd2-48dc-8cc0-ab5a1b2004f5"/>
    <ds:schemaRef ds:uri="04153180-d8e1-41b8-a6fe-d11a75a094c9"/>
    <ds:schemaRef ds:uri="http://purl.org/dc/dcmitype/"/>
  </ds:schemaRefs>
</ds:datastoreItem>
</file>

<file path=customXml/itemProps2.xml><?xml version="1.0" encoding="utf-8"?>
<ds:datastoreItem xmlns:ds="http://schemas.openxmlformats.org/officeDocument/2006/customXml" ds:itemID="{175B906B-F08F-4DDD-8607-02BFC2CD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53180-d8e1-41b8-a6fe-d11a75a094c9"/>
    <ds:schemaRef ds:uri="ae70394f-2dd2-48dc-8cc0-ab5a1b20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F7E60-C79B-48CE-8E97-0D83C1CB31F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Department for Education</dc:creator>
  <keywords/>
  <dc:description/>
  <lastModifiedBy>Tamsin Lamb</lastModifiedBy>
  <revision>152</revision>
  <lastPrinted>2014-09-18T05:26:00.0000000Z</lastPrinted>
  <dcterms:created xsi:type="dcterms:W3CDTF">2024-11-25T16:58:00.0000000Z</dcterms:created>
  <dcterms:modified xsi:type="dcterms:W3CDTF">2024-12-20T09:47:04.2185246Z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0x010100B14CDC02DC1FC941A27D22CD37869801</vt:lpwstr>
  </property>
</Properties>
</file>